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883"/>
        <w:gridCol w:w="1276"/>
        <w:gridCol w:w="1701"/>
        <w:gridCol w:w="1275"/>
      </w:tblGrid>
      <w:tr w:rsidR="00A51F51" w:rsidRPr="007554EE" w:rsidTr="00090BDF">
        <w:trPr>
          <w:trHeight w:val="525"/>
        </w:trPr>
        <w:tc>
          <w:tcPr>
            <w:tcW w:w="3044" w:type="dxa"/>
            <w:shd w:val="clear" w:color="auto" w:fill="D9D9D9"/>
          </w:tcPr>
          <w:p w:rsidR="00A51F51" w:rsidRPr="007554EE" w:rsidRDefault="00A51F51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Famille professionnelle</w:t>
            </w:r>
          </w:p>
        </w:tc>
        <w:tc>
          <w:tcPr>
            <w:tcW w:w="2883" w:type="dxa"/>
            <w:vMerge w:val="restart"/>
            <w:tcBorders>
              <w:top w:val="nil"/>
            </w:tcBorders>
            <w:vAlign w:val="center"/>
          </w:tcPr>
          <w:p w:rsidR="00A51F51" w:rsidRPr="007554EE" w:rsidRDefault="006D6473" w:rsidP="00247D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D6473">
              <w:rPr>
                <w:rFonts w:ascii="Arial" w:hAnsi="Arial" w:cs="Arial"/>
                <w:b/>
                <w:bCs/>
                <w:szCs w:val="26"/>
              </w:rPr>
              <w:t>CHARGEE / CHARGE DE L’INGENIERIE DE FORMATION</w:t>
            </w:r>
          </w:p>
        </w:tc>
        <w:tc>
          <w:tcPr>
            <w:tcW w:w="4252" w:type="dxa"/>
            <w:gridSpan w:val="3"/>
            <w:shd w:val="clear" w:color="auto" w:fill="D9D9D9"/>
          </w:tcPr>
          <w:p w:rsidR="00A51F51" w:rsidRPr="007554EE" w:rsidRDefault="00A51F51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Codes</w:t>
            </w:r>
          </w:p>
        </w:tc>
      </w:tr>
      <w:tr w:rsidR="00A51F51" w:rsidRPr="007554EE" w:rsidTr="00D53188">
        <w:trPr>
          <w:trHeight w:val="625"/>
        </w:trPr>
        <w:tc>
          <w:tcPr>
            <w:tcW w:w="3044" w:type="dxa"/>
            <w:vMerge w:val="restart"/>
            <w:shd w:val="clear" w:color="auto" w:fill="F545AE"/>
            <w:vAlign w:val="center"/>
          </w:tcPr>
          <w:p w:rsidR="00A51F51" w:rsidRPr="00BB4815" w:rsidRDefault="00CE0E82" w:rsidP="00ED2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Ressources humaines</w:t>
            </w:r>
          </w:p>
        </w:tc>
        <w:tc>
          <w:tcPr>
            <w:tcW w:w="2883" w:type="dxa"/>
            <w:vMerge/>
            <w:vAlign w:val="center"/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Code FICHE</w:t>
            </w:r>
          </w:p>
          <w:p w:rsidR="00A51F51" w:rsidRDefault="00A51F51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21B" w:rsidRDefault="0066421B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1F51" w:rsidRPr="00AF77D5" w:rsidRDefault="00E038EE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7D5">
              <w:rPr>
                <w:rFonts w:ascii="Arial" w:hAnsi="Arial" w:cs="Arial"/>
                <w:sz w:val="18"/>
                <w:szCs w:val="18"/>
              </w:rPr>
              <w:t>T</w:t>
            </w:r>
            <w:r w:rsidR="00CE0E82" w:rsidRPr="00AF77D5">
              <w:rPr>
                <w:rFonts w:ascii="Arial" w:hAnsi="Arial" w:cs="Arial"/>
                <w:sz w:val="18"/>
                <w:szCs w:val="18"/>
              </w:rPr>
              <w:t>G</w:t>
            </w:r>
            <w:bookmarkStart w:id="0" w:name="_GoBack"/>
            <w:bookmarkEnd w:id="0"/>
            <w:r w:rsidR="00CE0E82" w:rsidRPr="00AF77D5">
              <w:rPr>
                <w:rFonts w:ascii="Arial" w:hAnsi="Arial" w:cs="Arial"/>
                <w:sz w:val="18"/>
                <w:szCs w:val="18"/>
              </w:rPr>
              <w:t>RH</w:t>
            </w:r>
            <w:r w:rsidR="00AF77D5" w:rsidRPr="00AF77D5">
              <w:rPr>
                <w:rFonts w:ascii="Arial" w:hAnsi="Arial" w:cs="Arial"/>
                <w:sz w:val="18"/>
                <w:szCs w:val="18"/>
              </w:rPr>
              <w:t>000009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Correspondance RIME</w:t>
            </w:r>
          </w:p>
          <w:p w:rsidR="00BA1D09" w:rsidRPr="006D6473" w:rsidRDefault="006D6473" w:rsidP="006642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473">
              <w:rPr>
                <w:rFonts w:ascii="Arial" w:hAnsi="Arial" w:cs="Arial"/>
                <w:sz w:val="18"/>
                <w:szCs w:val="18"/>
              </w:rPr>
              <w:t>FP2GRH04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A51F51" w:rsidRPr="00A51F51" w:rsidRDefault="001656F2" w:rsidP="00ED1E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Ex-r</w:t>
            </w:r>
            <w:r w:rsidR="00A51F51" w:rsidRPr="00A51F51">
              <w:rPr>
                <w:rFonts w:ascii="Arial" w:hAnsi="Arial" w:cs="Arial"/>
                <w:b/>
                <w:sz w:val="18"/>
                <w:szCs w:val="18"/>
              </w:rPr>
              <w:t xml:space="preserve">épertoire </w:t>
            </w:r>
            <w:r>
              <w:rPr>
                <w:rFonts w:ascii="Arial" w:hAnsi="Arial" w:cs="Arial"/>
                <w:b/>
                <w:sz w:val="18"/>
                <w:szCs w:val="18"/>
              </w:rPr>
              <w:t>Affaires sociales-JS</w:t>
            </w:r>
          </w:p>
          <w:p w:rsidR="00A51F51" w:rsidRPr="007554EE" w:rsidRDefault="00E329E4" w:rsidP="0066421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SJA-40-A</w:t>
            </w:r>
          </w:p>
        </w:tc>
      </w:tr>
      <w:tr w:rsidR="00A51F51" w:rsidRPr="007554EE" w:rsidTr="00D53188">
        <w:trPr>
          <w:trHeight w:val="624"/>
        </w:trPr>
        <w:tc>
          <w:tcPr>
            <w:tcW w:w="3044" w:type="dxa"/>
            <w:vMerge/>
            <w:shd w:val="clear" w:color="auto" w:fill="F545AE"/>
            <w:vAlign w:val="center"/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bottom w:val="nil"/>
            </w:tcBorders>
            <w:vAlign w:val="center"/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Correspondance UCANSS</w:t>
            </w:r>
          </w:p>
          <w:p w:rsidR="006D6473" w:rsidRPr="00EB5777" w:rsidRDefault="00EB5777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77"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A51F51" w:rsidRDefault="002C2D92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Ex-r</w:t>
            </w:r>
            <w:r w:rsidR="00A51F51">
              <w:rPr>
                <w:rFonts w:ascii="Arial" w:hAnsi="Arial" w:cs="Arial"/>
                <w:b/>
                <w:sz w:val="18"/>
                <w:szCs w:val="18"/>
              </w:rPr>
              <w:t>épertoire Travail</w:t>
            </w:r>
          </w:p>
          <w:p w:rsidR="00A51F51" w:rsidRPr="00873533" w:rsidRDefault="00AF77D5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G30</w:t>
            </w:r>
          </w:p>
        </w:tc>
      </w:tr>
    </w:tbl>
    <w:p w:rsidR="00A77C5D" w:rsidRPr="007554EE" w:rsidRDefault="00A77C5D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8150B7" w:rsidRPr="007554EE" w:rsidTr="00675A56">
        <w:trPr>
          <w:trHeight w:val="30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0B7" w:rsidRPr="007554EE" w:rsidRDefault="008150B7" w:rsidP="00675A56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3A9C">
              <w:rPr>
                <w:rFonts w:ascii="Arial" w:hAnsi="Arial" w:cs="Arial"/>
                <w:b/>
                <w:bCs/>
                <w:sz w:val="22"/>
                <w:szCs w:val="28"/>
              </w:rPr>
              <w:t>Administration centrale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0B7" w:rsidRPr="00A03A9C" w:rsidRDefault="008150B7" w:rsidP="00675A5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Services territoriaux    </w:t>
            </w:r>
            <w:r w:rsidRPr="00A03A9C">
              <w:rPr>
                <w:rFonts w:ascii="Arial" w:hAnsi="Arial" w:cs="Arial"/>
                <w:b/>
                <w:bCs/>
                <w:sz w:val="22"/>
                <w:szCs w:val="28"/>
              </w:rPr>
              <w:t>DI(R</w:t>
            </w:r>
            <w:proofErr w:type="gramStart"/>
            <w:r w:rsidRPr="00A03A9C">
              <w:rPr>
                <w:rFonts w:ascii="Arial" w:hAnsi="Arial" w:cs="Arial"/>
                <w:b/>
                <w:bCs/>
                <w:sz w:val="22"/>
                <w:szCs w:val="28"/>
              </w:rPr>
              <w:t>)ECCTE</w:t>
            </w:r>
            <w:proofErr w:type="gramEnd"/>
            <w:r w:rsidRPr="00A03A9C">
              <w:rPr>
                <w:rFonts w:ascii="Arial" w:hAnsi="Arial" w:cs="Arial"/>
                <w:b/>
                <w:bCs/>
                <w:sz w:val="22"/>
                <w:szCs w:val="28"/>
              </w:rPr>
              <w:t>-D(R)(D)JSCS-ARS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0B7" w:rsidRPr="00A03A9C" w:rsidRDefault="008150B7" w:rsidP="00675A5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Établissement public         </w:t>
            </w:r>
            <w:r w:rsidRPr="00A03A9C">
              <w:rPr>
                <w:rFonts w:ascii="Arial" w:hAnsi="Arial" w:cs="Arial"/>
                <w:b/>
                <w:bCs/>
                <w:sz w:val="22"/>
                <w:szCs w:val="28"/>
              </w:rPr>
              <w:t>(hors ARS)</w:t>
            </w:r>
          </w:p>
        </w:tc>
      </w:tr>
      <w:tr w:rsidR="008150B7" w:rsidRPr="007554EE" w:rsidTr="00D53188">
        <w:trPr>
          <w:trHeight w:val="302"/>
        </w:trPr>
        <w:tc>
          <w:tcPr>
            <w:tcW w:w="10260" w:type="dxa"/>
            <w:gridSpan w:val="3"/>
            <w:shd w:val="clear" w:color="auto" w:fill="F545AE"/>
          </w:tcPr>
          <w:p w:rsidR="008150B7" w:rsidRPr="00BB4815" w:rsidRDefault="008150B7" w:rsidP="00675A56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815">
              <w:rPr>
                <w:rFonts w:ascii="Arial" w:hAnsi="Arial" w:cs="Arial"/>
                <w:b/>
                <w:bCs/>
                <w:sz w:val="28"/>
                <w:szCs w:val="28"/>
              </w:rPr>
              <w:t>Définition</w:t>
            </w:r>
          </w:p>
        </w:tc>
      </w:tr>
      <w:tr w:rsidR="00A77C5D" w:rsidRPr="007554EE">
        <w:trPr>
          <w:trHeight w:val="747"/>
        </w:trPr>
        <w:tc>
          <w:tcPr>
            <w:tcW w:w="1026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090A" w:rsidRPr="00410993" w:rsidRDefault="006D6473" w:rsidP="006E1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Construit,</w:t>
            </w:r>
            <w:r w:rsidRPr="006D6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D98">
              <w:rPr>
                <w:rFonts w:ascii="Arial" w:hAnsi="Arial" w:cs="Arial"/>
                <w:sz w:val="20"/>
                <w:szCs w:val="20"/>
              </w:rPr>
              <w:t xml:space="preserve">met en œuvre et évalue, </w:t>
            </w:r>
            <w:r w:rsidRPr="006D6473">
              <w:rPr>
                <w:rFonts w:ascii="Arial" w:hAnsi="Arial" w:cs="Arial"/>
                <w:sz w:val="20"/>
                <w:szCs w:val="20"/>
              </w:rPr>
              <w:t>sur son périmètre de compétence</w:t>
            </w:r>
            <w:r>
              <w:rPr>
                <w:rFonts w:ascii="Arial" w:hAnsi="Arial" w:cs="Arial"/>
                <w:sz w:val="20"/>
                <w:szCs w:val="20"/>
              </w:rPr>
              <w:t xml:space="preserve">, le plan de formation de sa structure et conçoit l’ingénierie des dispositifs de formation.  </w:t>
            </w:r>
          </w:p>
        </w:tc>
      </w:tr>
    </w:tbl>
    <w:p w:rsidR="00A77C5D" w:rsidRPr="007554EE" w:rsidRDefault="00A77C5D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7C5D" w:rsidRPr="007554EE" w:rsidTr="00D53188">
        <w:trPr>
          <w:trHeight w:val="362"/>
        </w:trPr>
        <w:tc>
          <w:tcPr>
            <w:tcW w:w="10260" w:type="dxa"/>
            <w:shd w:val="clear" w:color="auto" w:fill="F545AE"/>
          </w:tcPr>
          <w:p w:rsidR="00A77C5D" w:rsidRPr="00BB4815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815">
              <w:rPr>
                <w:rFonts w:ascii="Arial" w:hAnsi="Arial" w:cs="Arial"/>
                <w:b/>
                <w:bCs/>
                <w:sz w:val="28"/>
                <w:szCs w:val="28"/>
              </w:rPr>
              <w:t>Activités essentielles</w:t>
            </w:r>
          </w:p>
        </w:tc>
      </w:tr>
      <w:tr w:rsidR="00A77C5D" w:rsidRPr="007554EE" w:rsidTr="0065192B">
        <w:trPr>
          <w:trHeight w:val="2288"/>
        </w:trPr>
        <w:tc>
          <w:tcPr>
            <w:tcW w:w="10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473" w:rsidRPr="00470F19" w:rsidRDefault="006D6473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Coordonne le recensement des besoins (individuels ou collectifs) des services et aspirations des agents en formation</w:t>
            </w:r>
            <w:r w:rsidR="00114D3B" w:rsidRPr="00470F19">
              <w:rPr>
                <w:rFonts w:ascii="Arial" w:hAnsi="Arial" w:cs="Arial"/>
                <w:sz w:val="20"/>
                <w:szCs w:val="20"/>
              </w:rPr>
              <w:t xml:space="preserve">, notamment par </w:t>
            </w:r>
            <w:proofErr w:type="gramStart"/>
            <w:r w:rsidR="00114D3B" w:rsidRPr="00470F19"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 w:rsidR="00114D3B" w:rsidRPr="00470F19">
              <w:rPr>
                <w:rFonts w:ascii="Arial" w:hAnsi="Arial" w:cs="Arial"/>
                <w:sz w:val="20"/>
                <w:szCs w:val="20"/>
              </w:rPr>
              <w:t>compte-rendus</w:t>
            </w:r>
            <w:proofErr w:type="spellEnd"/>
            <w:proofErr w:type="gramEnd"/>
            <w:r w:rsidR="00114D3B" w:rsidRPr="00470F19">
              <w:rPr>
                <w:rFonts w:ascii="Arial" w:hAnsi="Arial" w:cs="Arial"/>
                <w:sz w:val="20"/>
                <w:szCs w:val="20"/>
              </w:rPr>
              <w:t xml:space="preserve"> d’entretiens professionnels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 xml:space="preserve"> et par des enquêtes</w:t>
            </w:r>
            <w:r w:rsidR="00114D3B" w:rsidRPr="00470F19">
              <w:rPr>
                <w:rFonts w:ascii="Arial" w:hAnsi="Arial" w:cs="Arial"/>
                <w:sz w:val="20"/>
                <w:szCs w:val="20"/>
              </w:rPr>
              <w:t>, et les analyse</w:t>
            </w:r>
          </w:p>
          <w:p w:rsidR="00114D3B" w:rsidRPr="00470F19" w:rsidRDefault="00114D3B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Réalise la synthèse des besoins des agents, des priorités régionales et nationales</w:t>
            </w:r>
          </w:p>
          <w:p w:rsidR="006D6473" w:rsidRPr="00470F19" w:rsidRDefault="00114D3B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 xml:space="preserve">Participe à l’élaboration 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 xml:space="preserve">de la stratégie de formation </w:t>
            </w:r>
            <w:r w:rsidRPr="00470F19">
              <w:rPr>
                <w:rFonts w:ascii="Arial" w:hAnsi="Arial" w:cs="Arial"/>
                <w:sz w:val="20"/>
                <w:szCs w:val="20"/>
              </w:rPr>
              <w:t xml:space="preserve">et, le cas échéant, 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 xml:space="preserve">fait des </w:t>
            </w:r>
            <w:r w:rsidRPr="00470F19">
              <w:rPr>
                <w:rFonts w:ascii="Arial" w:hAnsi="Arial" w:cs="Arial"/>
                <w:sz w:val="20"/>
                <w:szCs w:val="20"/>
              </w:rPr>
              <w:t>propos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>itions</w:t>
            </w:r>
            <w:r w:rsidRPr="00470F19">
              <w:rPr>
                <w:rFonts w:ascii="Arial" w:hAnsi="Arial" w:cs="Arial"/>
                <w:sz w:val="20"/>
                <w:szCs w:val="20"/>
              </w:rPr>
              <w:t xml:space="preserve"> aux décideurs</w:t>
            </w:r>
            <w:r w:rsidR="006D6473" w:rsidRPr="00470F19">
              <w:rPr>
                <w:rFonts w:ascii="Arial" w:hAnsi="Arial" w:cs="Arial"/>
                <w:sz w:val="20"/>
                <w:szCs w:val="20"/>
              </w:rPr>
              <w:t>, au regard de l’évolution des métiers et compétences et en lien avec la gestion prévisionnelle des emplois et des compétences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>, ainsi que dans le respect des contraintes budgétaires</w:t>
            </w:r>
          </w:p>
          <w:p w:rsidR="00114D3B" w:rsidRPr="00470F19" w:rsidRDefault="00114D3B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Elabore les cahiers des charges, conçoit et anime les appels à projets</w:t>
            </w:r>
          </w:p>
          <w:p w:rsidR="006D6473" w:rsidRPr="00470F19" w:rsidRDefault="006D6473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 xml:space="preserve">Conçoit et met en œuvre des dispositifs </w:t>
            </w:r>
            <w:r w:rsidR="001656F2" w:rsidRPr="00470F19">
              <w:rPr>
                <w:rFonts w:ascii="Arial" w:hAnsi="Arial" w:cs="Arial"/>
                <w:sz w:val="20"/>
                <w:szCs w:val="20"/>
              </w:rPr>
              <w:t xml:space="preserve">pédagogiques </w:t>
            </w:r>
            <w:r w:rsidRPr="00470F19">
              <w:rPr>
                <w:rFonts w:ascii="Arial" w:hAnsi="Arial" w:cs="Arial"/>
                <w:sz w:val="20"/>
                <w:szCs w:val="20"/>
              </w:rPr>
              <w:t>de formation</w:t>
            </w:r>
            <w:r w:rsidR="00114D3B" w:rsidRPr="00470F19">
              <w:rPr>
                <w:rFonts w:ascii="Arial" w:hAnsi="Arial" w:cs="Arial"/>
                <w:sz w:val="20"/>
                <w:szCs w:val="20"/>
              </w:rPr>
              <w:t xml:space="preserve"> en lien avec les directions métiers</w:t>
            </w:r>
            <w:r w:rsidRPr="00470F19">
              <w:rPr>
                <w:rFonts w:ascii="Arial" w:hAnsi="Arial" w:cs="Arial"/>
                <w:sz w:val="20"/>
                <w:szCs w:val="20"/>
              </w:rPr>
              <w:t xml:space="preserve"> (définition et objectifs, conception des modules de formation…)</w:t>
            </w:r>
          </w:p>
          <w:p w:rsidR="0065192B" w:rsidRPr="00470F19" w:rsidRDefault="0065192B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Planifie les formations sur le plan</w:t>
            </w:r>
            <w:r w:rsidR="00114D3B" w:rsidRPr="00470F19">
              <w:rPr>
                <w:rFonts w:ascii="Arial" w:hAnsi="Arial" w:cs="Arial"/>
                <w:sz w:val="20"/>
                <w:szCs w:val="20"/>
              </w:rPr>
              <w:t xml:space="preserve"> budgétaire</w:t>
            </w:r>
          </w:p>
          <w:p w:rsidR="00E329E4" w:rsidRPr="00470F19" w:rsidRDefault="00E329E4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Participe à l’évaluation des dispositifs de formation et à la qualité des interventions</w:t>
            </w:r>
            <w:r w:rsidR="00114D3B" w:rsidRPr="00470F19">
              <w:rPr>
                <w:rFonts w:ascii="Arial" w:hAnsi="Arial" w:cs="Arial"/>
                <w:sz w:val="20"/>
                <w:szCs w:val="20"/>
              </w:rPr>
              <w:t xml:space="preserve"> et, le cas échéant, réalise les bilans de formation</w:t>
            </w:r>
          </w:p>
          <w:p w:rsidR="0065192B" w:rsidRPr="00470F19" w:rsidRDefault="002C2D92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A</w:t>
            </w:r>
            <w:r w:rsidR="0065192B" w:rsidRPr="00470F19">
              <w:rPr>
                <w:rFonts w:ascii="Arial" w:hAnsi="Arial" w:cs="Arial"/>
                <w:sz w:val="20"/>
                <w:szCs w:val="20"/>
              </w:rPr>
              <w:t>nime des réseaux de correspondants</w:t>
            </w:r>
            <w:r w:rsidR="001656F2" w:rsidRPr="00470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 xml:space="preserve">formation et, </w:t>
            </w:r>
            <w:r w:rsidR="0065192B" w:rsidRPr="00470F19">
              <w:rPr>
                <w:rFonts w:ascii="Arial" w:hAnsi="Arial" w:cs="Arial"/>
                <w:sz w:val="20"/>
                <w:szCs w:val="20"/>
              </w:rPr>
              <w:t>le cas échéant</w:t>
            </w:r>
            <w:r w:rsidR="008150B7" w:rsidRPr="00470F19">
              <w:rPr>
                <w:rFonts w:ascii="Arial" w:hAnsi="Arial" w:cs="Arial"/>
                <w:sz w:val="20"/>
                <w:szCs w:val="20"/>
              </w:rPr>
              <w:t>, participe à des réseaux</w:t>
            </w:r>
            <w:r w:rsidR="0065192B" w:rsidRPr="00470F19">
              <w:rPr>
                <w:rFonts w:ascii="Arial" w:hAnsi="Arial" w:cs="Arial"/>
                <w:sz w:val="20"/>
                <w:szCs w:val="20"/>
              </w:rPr>
              <w:t xml:space="preserve"> interministériels</w:t>
            </w:r>
          </w:p>
          <w:p w:rsidR="00E329E4" w:rsidRPr="00470F19" w:rsidRDefault="00E329E4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Constitue et entretient des équipes pédagogiques (vivier de formateurs, tuteurs…)</w:t>
            </w:r>
          </w:p>
          <w:p w:rsidR="00114D3B" w:rsidRPr="00470F19" w:rsidRDefault="00114D3B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>Conçoit des dispositifs d’accueil des stagiaires</w:t>
            </w:r>
          </w:p>
          <w:p w:rsidR="00114D3B" w:rsidRPr="00470F19" w:rsidRDefault="00AF77D5" w:rsidP="00470F1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19">
              <w:rPr>
                <w:rFonts w:ascii="Arial" w:hAnsi="Arial" w:cs="Arial"/>
                <w:sz w:val="20"/>
                <w:szCs w:val="20"/>
              </w:rPr>
              <w:t xml:space="preserve">Informe </w:t>
            </w:r>
            <w:r w:rsidR="001656F2" w:rsidRPr="00470F19">
              <w:rPr>
                <w:rFonts w:ascii="Arial" w:hAnsi="Arial" w:cs="Arial"/>
                <w:sz w:val="20"/>
                <w:szCs w:val="20"/>
              </w:rPr>
              <w:t xml:space="preserve">et conseille </w:t>
            </w:r>
            <w:r w:rsidRPr="00470F19">
              <w:rPr>
                <w:rFonts w:ascii="Arial" w:hAnsi="Arial" w:cs="Arial"/>
                <w:sz w:val="20"/>
                <w:szCs w:val="20"/>
              </w:rPr>
              <w:t>sur les possibilités de formations locales, nationales et interministérielles</w:t>
            </w:r>
            <w:r w:rsidR="001656F2" w:rsidRPr="00470F19">
              <w:rPr>
                <w:rFonts w:ascii="Arial" w:hAnsi="Arial" w:cs="Arial"/>
                <w:sz w:val="20"/>
                <w:szCs w:val="20"/>
              </w:rPr>
              <w:t xml:space="preserve"> et promeut les actions de formations dispensées</w:t>
            </w:r>
          </w:p>
        </w:tc>
      </w:tr>
    </w:tbl>
    <w:p w:rsidR="001C4C1C" w:rsidRDefault="001C4C1C" w:rsidP="00116467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29"/>
        <w:gridCol w:w="5580"/>
      </w:tblGrid>
      <w:tr w:rsidR="007727A2" w:rsidRPr="00F00310" w:rsidTr="003F3A0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45AE"/>
          </w:tcPr>
          <w:p w:rsidR="007727A2" w:rsidRPr="00F00310" w:rsidRDefault="007727A2" w:rsidP="00F00310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0310">
              <w:rPr>
                <w:rFonts w:ascii="Arial" w:hAnsi="Arial" w:cs="Arial"/>
                <w:b/>
                <w:bCs/>
                <w:sz w:val="28"/>
                <w:szCs w:val="28"/>
              </w:rPr>
              <w:t>Compétences</w:t>
            </w:r>
          </w:p>
        </w:tc>
      </w:tr>
      <w:tr w:rsidR="007727A2" w:rsidRPr="00F00310" w:rsidTr="003F3A0F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2" w:rsidRPr="00F00310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Bloc de compétences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2" w:rsidRPr="00F00310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Spécifications</w:t>
            </w:r>
          </w:p>
        </w:tc>
      </w:tr>
      <w:tr w:rsidR="007727A2" w:rsidRPr="00F00310" w:rsidTr="003F3A0F">
        <w:trPr>
          <w:trHeight w:val="38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A2" w:rsidRPr="00F00310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Connaissances</w:t>
            </w:r>
          </w:p>
        </w:tc>
      </w:tr>
      <w:tr w:rsidR="00CA4539" w:rsidRPr="00F00310" w:rsidTr="003F3A0F">
        <w:trPr>
          <w:trHeight w:val="940"/>
        </w:trPr>
        <w:tc>
          <w:tcPr>
            <w:tcW w:w="468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4539" w:rsidRDefault="00AF77D5" w:rsidP="009463F0">
            <w:pPr>
              <w:rPr>
                <w:rFonts w:ascii="Arial" w:hAnsi="Arial" w:cs="Arial"/>
                <w:sz w:val="20"/>
                <w:szCs w:val="20"/>
              </w:rPr>
            </w:pPr>
            <w:r w:rsidRPr="00AF77D5">
              <w:rPr>
                <w:rFonts w:ascii="Arial" w:hAnsi="Arial" w:cs="Arial"/>
                <w:sz w:val="20"/>
                <w:szCs w:val="20"/>
              </w:rPr>
              <w:t>Organisation, missions, fonctionnement et conditions d'intervention des services</w:t>
            </w:r>
          </w:p>
        </w:tc>
        <w:tc>
          <w:tcPr>
            <w:tcW w:w="55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77D5" w:rsidRPr="00AF77D5" w:rsidRDefault="00AF77D5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Disposer d’une bonne connaissance des services et de leurs missions</w:t>
            </w:r>
          </w:p>
          <w:p w:rsidR="00CA4539" w:rsidRDefault="00AF77D5" w:rsidP="006519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Connaître l’organisation de la fonction ressources humaines et la chaîne formation</w:t>
            </w:r>
          </w:p>
        </w:tc>
      </w:tr>
      <w:tr w:rsidR="0065192B" w:rsidRPr="00F00310" w:rsidTr="004E7B9B">
        <w:trPr>
          <w:trHeight w:val="665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192B" w:rsidRPr="00F00310" w:rsidRDefault="0065192B" w:rsidP="00B52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B3651">
              <w:rPr>
                <w:rFonts w:ascii="Arial" w:hAnsi="Arial" w:cs="Arial"/>
                <w:sz w:val="20"/>
                <w:szCs w:val="20"/>
              </w:rPr>
              <w:t>tatut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651">
              <w:rPr>
                <w:rFonts w:ascii="Arial" w:hAnsi="Arial" w:cs="Arial"/>
                <w:sz w:val="20"/>
                <w:szCs w:val="20"/>
              </w:rPr>
              <w:t>de la fonction publique</w:t>
            </w:r>
            <w:r w:rsidR="00B52DC9">
              <w:rPr>
                <w:rFonts w:ascii="Arial" w:hAnsi="Arial" w:cs="Arial"/>
                <w:sz w:val="20"/>
                <w:szCs w:val="20"/>
              </w:rPr>
              <w:t xml:space="preserve"> d’Etat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192B" w:rsidRPr="008150B7" w:rsidRDefault="0006776B" w:rsidP="008150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les </w:t>
            </w:r>
            <w:r w:rsidR="008150B7">
              <w:rPr>
                <w:rFonts w:ascii="Arial" w:hAnsi="Arial" w:cs="Arial"/>
                <w:sz w:val="20"/>
                <w:szCs w:val="20"/>
              </w:rPr>
              <w:t xml:space="preserve">seules </w:t>
            </w:r>
            <w:r>
              <w:rPr>
                <w:rFonts w:ascii="Arial" w:hAnsi="Arial" w:cs="Arial"/>
                <w:sz w:val="20"/>
                <w:szCs w:val="20"/>
              </w:rPr>
              <w:t xml:space="preserve">ARS, </w:t>
            </w:r>
            <w:r w:rsidR="008150B7">
              <w:rPr>
                <w:rFonts w:ascii="Arial" w:eastAsia="Times New Roman" w:hAnsi="Arial" w:cs="Arial"/>
                <w:sz w:val="20"/>
                <w:szCs w:val="20"/>
              </w:rPr>
              <w:t>connaître la législation, la réglementation et les modalités de financement en matière de formation tout au long de la vie</w:t>
            </w:r>
          </w:p>
        </w:tc>
      </w:tr>
      <w:tr w:rsidR="0006776B" w:rsidRPr="00F00310" w:rsidTr="00D53188">
        <w:trPr>
          <w:trHeight w:val="727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776B" w:rsidRDefault="0006776B" w:rsidP="00067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Droit du travail, de l’emploi et de la formation professionnelle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0B7" w:rsidRPr="00AF77D5" w:rsidRDefault="008150B7" w:rsidP="008150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Connaître les dispositifs et droits individuels à la formation pour les personnels de droit privé</w:t>
            </w:r>
          </w:p>
        </w:tc>
      </w:tr>
      <w:tr w:rsidR="00353FED" w:rsidRPr="00F00310" w:rsidTr="00AF77D5">
        <w:trPr>
          <w:trHeight w:val="1197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3FED" w:rsidRDefault="0065192B" w:rsidP="0094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="00AF77D5" w:rsidRPr="00AF77D5">
              <w:rPr>
                <w:rFonts w:ascii="Arial" w:hAnsi="Arial" w:cs="Arial"/>
                <w:sz w:val="20"/>
                <w:szCs w:val="20"/>
              </w:rPr>
              <w:t>odalités de gestion des ressources humaines dans l'administration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77D5" w:rsidRPr="00AF77D5" w:rsidRDefault="00AF77D5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Connaître les plans de formation ministériels et interministériels</w:t>
            </w:r>
            <w:r w:rsidR="0006776B">
              <w:rPr>
                <w:rFonts w:ascii="Arial" w:eastAsia="Times New Roman" w:hAnsi="Arial" w:cs="Arial"/>
                <w:sz w:val="20"/>
                <w:szCs w:val="20"/>
              </w:rPr>
              <w:t xml:space="preserve"> et les organismes spécifiques</w:t>
            </w:r>
            <w:r w:rsidR="00BA4AE5">
              <w:rPr>
                <w:rFonts w:ascii="Arial" w:eastAsia="Times New Roman" w:hAnsi="Arial" w:cs="Arial"/>
                <w:sz w:val="20"/>
                <w:szCs w:val="20"/>
              </w:rPr>
              <w:t xml:space="preserve"> (EHESP, EN</w:t>
            </w:r>
            <w:r w:rsidR="008150B7">
              <w:rPr>
                <w:rFonts w:ascii="Arial" w:eastAsia="Times New Roman" w:hAnsi="Arial" w:cs="Arial"/>
                <w:sz w:val="20"/>
                <w:szCs w:val="20"/>
              </w:rPr>
              <w:t>3S, INTEFP…)</w:t>
            </w:r>
          </w:p>
          <w:p w:rsidR="00353FED" w:rsidRDefault="00AF77D5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Connaître les politiques de formation et outils spécifiques au ministère (répertoire</w:t>
            </w:r>
            <w:r w:rsidR="007A54E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F77D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r w:rsidR="0065192B">
              <w:rPr>
                <w:rFonts w:ascii="Arial" w:eastAsia="Times New Roman" w:hAnsi="Arial" w:cs="Arial"/>
                <w:sz w:val="20"/>
                <w:szCs w:val="20"/>
              </w:rPr>
              <w:t xml:space="preserve">emplois-types ou </w:t>
            </w: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métiers</w:t>
            </w:r>
            <w:r w:rsidR="007A54E1">
              <w:rPr>
                <w:rFonts w:ascii="Arial" w:eastAsia="Times New Roman" w:hAnsi="Arial" w:cs="Arial"/>
                <w:sz w:val="20"/>
                <w:szCs w:val="20"/>
              </w:rPr>
              <w:t xml:space="preserve"> et de l’UCANSS</w:t>
            </w: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5192B">
              <w:rPr>
                <w:rFonts w:ascii="Arial" w:eastAsia="Times New Roman" w:hAnsi="Arial" w:cs="Arial"/>
                <w:sz w:val="20"/>
                <w:szCs w:val="20"/>
              </w:rPr>
              <w:t xml:space="preserve"> référentiels de compétences</w:t>
            </w:r>
            <w:r w:rsidR="007A54E1">
              <w:rPr>
                <w:rFonts w:ascii="Arial" w:eastAsia="Times New Roman" w:hAnsi="Arial" w:cs="Arial"/>
                <w:sz w:val="20"/>
                <w:szCs w:val="20"/>
              </w:rPr>
              <w:t xml:space="preserve"> et SIRH dédiés</w:t>
            </w: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…)</w:t>
            </w:r>
          </w:p>
        </w:tc>
      </w:tr>
      <w:tr w:rsidR="00285690" w:rsidRPr="00F00310" w:rsidTr="001B3651">
        <w:trPr>
          <w:trHeight w:val="69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85690" w:rsidRPr="00F00310" w:rsidRDefault="008150B7" w:rsidP="0075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Problématiques, mesures et dispositifs propres au champ d’intervention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3651" w:rsidRPr="001B3651" w:rsidRDefault="008150B7" w:rsidP="001B3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Principes</w:t>
            </w:r>
            <w:r w:rsidR="001B3651" w:rsidRPr="001B3651">
              <w:rPr>
                <w:rFonts w:ascii="Arial" w:hAnsi="Arial" w:cs="Arial"/>
                <w:sz w:val="20"/>
                <w:szCs w:val="20"/>
              </w:rPr>
              <w:t xml:space="preserve"> de l’ingénierie de formation</w:t>
            </w:r>
          </w:p>
          <w:p w:rsidR="00612D01" w:rsidRPr="00F00310" w:rsidRDefault="008150B7" w:rsidP="001B3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B3651" w:rsidRPr="001B3651">
              <w:rPr>
                <w:rFonts w:ascii="Arial" w:hAnsi="Arial" w:cs="Arial"/>
                <w:sz w:val="20"/>
                <w:szCs w:val="20"/>
              </w:rPr>
              <w:t>rincipes de l’animation pédagogique</w:t>
            </w:r>
          </w:p>
        </w:tc>
      </w:tr>
      <w:tr w:rsidR="007A54E1" w:rsidRPr="00F00310" w:rsidTr="003F3A0F">
        <w:trPr>
          <w:trHeight w:val="69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A54E1" w:rsidRPr="001B3651" w:rsidRDefault="007A54E1" w:rsidP="0075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Finances publiques et gestion budgétaire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54E1" w:rsidRPr="001B3651" w:rsidRDefault="008150B7" w:rsidP="001B3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A54E1">
              <w:rPr>
                <w:rFonts w:ascii="Arial" w:hAnsi="Arial" w:cs="Arial"/>
                <w:sz w:val="20"/>
                <w:szCs w:val="20"/>
              </w:rPr>
              <w:t>odalités de la commande publique</w:t>
            </w:r>
          </w:p>
        </w:tc>
      </w:tr>
      <w:tr w:rsidR="005D4659" w:rsidRPr="00F00310" w:rsidTr="003F3A0F">
        <w:trPr>
          <w:trHeight w:val="66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659" w:rsidRPr="00F00310" w:rsidRDefault="005D4659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Savoirs faire techniques et opérationnels</w:t>
            </w:r>
          </w:p>
        </w:tc>
      </w:tr>
      <w:tr w:rsidR="001923F9" w:rsidRPr="00753F64" w:rsidTr="003F3A0F">
        <w:tc>
          <w:tcPr>
            <w:tcW w:w="46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C4FA1" w:rsidRPr="00753F64" w:rsidRDefault="008150B7" w:rsidP="008C3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Accompagner, conseiller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77D5" w:rsidRPr="00AF77D5" w:rsidRDefault="00AF77D5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77D5">
              <w:rPr>
                <w:rFonts w:ascii="Arial" w:eastAsia="Times New Roman" w:hAnsi="Arial" w:cs="Arial"/>
                <w:sz w:val="20"/>
                <w:szCs w:val="20"/>
              </w:rPr>
              <w:t>Savoir écouter et identifier les questions posées</w:t>
            </w:r>
          </w:p>
          <w:p w:rsidR="00AF77D5" w:rsidRPr="00AF77D5" w:rsidRDefault="0065192B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AF77D5" w:rsidRPr="00AF77D5">
              <w:rPr>
                <w:rFonts w:ascii="Arial" w:eastAsia="Times New Roman" w:hAnsi="Arial" w:cs="Arial"/>
                <w:sz w:val="20"/>
                <w:szCs w:val="20"/>
              </w:rPr>
              <w:t>ersonnaliser les conseils ou les connaissances apportées</w:t>
            </w:r>
          </w:p>
          <w:p w:rsidR="00AF77D5" w:rsidRPr="00AF77D5" w:rsidRDefault="0065192B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AF77D5" w:rsidRPr="00AF77D5">
              <w:rPr>
                <w:rFonts w:ascii="Arial" w:eastAsia="Times New Roman" w:hAnsi="Arial" w:cs="Arial"/>
                <w:sz w:val="20"/>
                <w:szCs w:val="20"/>
              </w:rPr>
              <w:t>ibler l’information</w:t>
            </w:r>
          </w:p>
          <w:p w:rsidR="00836BE7" w:rsidRDefault="0065192B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F77D5" w:rsidRPr="00AF77D5">
              <w:rPr>
                <w:rFonts w:ascii="Arial" w:eastAsia="Times New Roman" w:hAnsi="Arial" w:cs="Arial"/>
                <w:sz w:val="20"/>
                <w:szCs w:val="20"/>
              </w:rPr>
              <w:t>pporter une information collective (réunion, notes, flash,…)</w:t>
            </w:r>
          </w:p>
          <w:p w:rsidR="00BA4AE5" w:rsidRPr="00AF77D5" w:rsidRDefault="00BA4AE5" w:rsidP="00BA4A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Conseiller et accompagner, notamment dans la recherche de financements (OPCA) et suivre le parcours des stagiaires (bilans de compétences, CPF)</w:t>
            </w:r>
          </w:p>
        </w:tc>
      </w:tr>
      <w:tr w:rsidR="00737085" w:rsidRPr="00753F64" w:rsidTr="00AF77D5">
        <w:trPr>
          <w:trHeight w:val="685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7085" w:rsidRPr="001B3651" w:rsidRDefault="00737085" w:rsidP="00737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Réaliser un diagnostic / une analyse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7085" w:rsidRDefault="00737085" w:rsidP="00A51C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Savoir évaluer une expression des besoins de formation</w:t>
            </w:r>
          </w:p>
          <w:p w:rsidR="00737085" w:rsidRDefault="00737085" w:rsidP="00A51C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Rédiger un bilan de formation</w:t>
            </w:r>
          </w:p>
        </w:tc>
      </w:tr>
      <w:tr w:rsidR="00DE5371" w:rsidRPr="00753F64" w:rsidTr="00AF77D5">
        <w:trPr>
          <w:trHeight w:val="685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5371" w:rsidRPr="00753F64" w:rsidRDefault="001B3651" w:rsidP="00152670">
            <w:pPr>
              <w:rPr>
                <w:rFonts w:ascii="Arial" w:hAnsi="Arial" w:cs="Arial"/>
                <w:sz w:val="20"/>
                <w:szCs w:val="20"/>
              </w:rPr>
            </w:pPr>
            <w:r w:rsidRPr="001B3651">
              <w:rPr>
                <w:rFonts w:ascii="Arial" w:hAnsi="Arial" w:cs="Arial"/>
                <w:sz w:val="20"/>
                <w:szCs w:val="20"/>
              </w:rPr>
              <w:t>Rédiger des documents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7085" w:rsidRDefault="00737085" w:rsidP="00A51C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Rédiger un cahier des charges</w:t>
            </w:r>
          </w:p>
          <w:p w:rsidR="00DE5371" w:rsidRPr="00753F64" w:rsidRDefault="0065192B" w:rsidP="00A51C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1B3651" w:rsidRPr="001B3651">
              <w:rPr>
                <w:rFonts w:ascii="Arial" w:eastAsia="Times New Roman" w:hAnsi="Arial" w:cs="Arial"/>
                <w:sz w:val="20"/>
                <w:szCs w:val="20"/>
              </w:rPr>
              <w:t>édiger des comptes rendus de réunion, des notes de synthèse, des supports de présentation….</w:t>
            </w:r>
          </w:p>
        </w:tc>
      </w:tr>
      <w:tr w:rsidR="00737085" w:rsidRPr="00753F64" w:rsidTr="00197B5D">
        <w:trPr>
          <w:trHeight w:val="549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7085" w:rsidRDefault="00737085" w:rsidP="004C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7085" w:rsidRDefault="00BA4AE5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Organiser un plan de communication annuel concernant la diffusion d’offres de formation</w:t>
            </w:r>
          </w:p>
          <w:p w:rsidR="00737085" w:rsidRPr="001B3651" w:rsidRDefault="00737085" w:rsidP="007370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Communiquer auprès des agents, des instances et des directions métiers</w:t>
            </w:r>
          </w:p>
        </w:tc>
      </w:tr>
      <w:tr w:rsidR="00BC3295" w:rsidRPr="00753F64" w:rsidTr="00197B5D">
        <w:trPr>
          <w:trHeight w:val="549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295" w:rsidRPr="00753F64" w:rsidRDefault="0065192B" w:rsidP="004C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B3651" w:rsidRPr="001B3651">
              <w:rPr>
                <w:rFonts w:ascii="Arial" w:hAnsi="Arial" w:cs="Arial"/>
                <w:sz w:val="20"/>
                <w:szCs w:val="20"/>
              </w:rPr>
              <w:t>pplications informatiques spécifiques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06BE" w:rsidRDefault="00D34266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1B3651" w:rsidRPr="001B3651">
              <w:rPr>
                <w:rFonts w:ascii="Arial" w:eastAsia="Times New Roman" w:hAnsi="Arial" w:cs="Arial"/>
                <w:sz w:val="20"/>
                <w:szCs w:val="20"/>
              </w:rPr>
              <w:t>tiliser l’application de gestion de la formation</w:t>
            </w:r>
            <w:r w:rsidR="00BA4AE5">
              <w:rPr>
                <w:rFonts w:ascii="Arial" w:eastAsia="Times New Roman" w:hAnsi="Arial" w:cs="Arial"/>
                <w:sz w:val="20"/>
                <w:szCs w:val="20"/>
              </w:rPr>
              <w:t xml:space="preserve"> et l’alimenter</w:t>
            </w:r>
          </w:p>
          <w:p w:rsidR="00BA4AE5" w:rsidRPr="00AF77D5" w:rsidRDefault="00BA4AE5" w:rsidP="00AF77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Accompagner les agents dans la bonne utilisation de l’application</w:t>
            </w:r>
          </w:p>
        </w:tc>
      </w:tr>
      <w:tr w:rsidR="001B3651" w:rsidRPr="00F00310" w:rsidTr="00D53188">
        <w:trPr>
          <w:trHeight w:val="430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3651" w:rsidRPr="001B3651" w:rsidRDefault="001B3651" w:rsidP="00BC3295">
            <w:pPr>
              <w:rPr>
                <w:rFonts w:ascii="Arial" w:hAnsi="Arial" w:cs="Arial"/>
                <w:sz w:val="20"/>
                <w:szCs w:val="20"/>
              </w:rPr>
            </w:pPr>
            <w:r w:rsidRPr="001B3651">
              <w:rPr>
                <w:rFonts w:ascii="Arial" w:hAnsi="Arial" w:cs="Arial"/>
                <w:sz w:val="20"/>
                <w:szCs w:val="20"/>
              </w:rPr>
              <w:t>Elaborer un budget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3651" w:rsidRPr="005201A8" w:rsidRDefault="00737085" w:rsidP="00D34266">
            <w:pPr>
              <w:autoSpaceDE w:val="0"/>
              <w:autoSpaceDN w:val="0"/>
              <w:adjustRightInd w:val="0"/>
              <w:rPr>
                <w:rFonts w:ascii="ArialMT" w:eastAsia="Times New Roman" w:hAnsi="ArialMT" w:cs="ArialMT"/>
                <w:sz w:val="20"/>
                <w:szCs w:val="20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</w:rPr>
              <w:t>Sui</w:t>
            </w:r>
            <w:r w:rsidR="00D34266">
              <w:rPr>
                <w:rFonts w:ascii="ArialMT" w:eastAsia="Times New Roman" w:hAnsi="ArialMT" w:cs="ArialMT"/>
                <w:sz w:val="20"/>
                <w:szCs w:val="20"/>
              </w:rPr>
              <w:t>vre</w:t>
            </w:r>
            <w:r>
              <w:rPr>
                <w:rFonts w:ascii="ArialMT" w:eastAsia="Times New Roman" w:hAnsi="ArialMT" w:cs="ArialMT"/>
                <w:sz w:val="20"/>
                <w:szCs w:val="20"/>
              </w:rPr>
              <w:t xml:space="preserve"> l’exécution budgétaire et évalu</w:t>
            </w:r>
            <w:r w:rsidR="00D34266">
              <w:rPr>
                <w:rFonts w:ascii="ArialMT" w:eastAsia="Times New Roman" w:hAnsi="ArialMT" w:cs="ArialMT"/>
                <w:sz w:val="20"/>
                <w:szCs w:val="20"/>
              </w:rPr>
              <w:t>er</w:t>
            </w:r>
            <w:r>
              <w:rPr>
                <w:rFonts w:ascii="ArialMT" w:eastAsia="Times New Roman" w:hAnsi="ArialMT" w:cs="ArialMT"/>
                <w:sz w:val="20"/>
                <w:szCs w:val="20"/>
              </w:rPr>
              <w:t xml:space="preserve"> d’un budget</w:t>
            </w:r>
          </w:p>
        </w:tc>
      </w:tr>
      <w:tr w:rsidR="001B3651" w:rsidRPr="001B3651" w:rsidTr="003F3A0F">
        <w:trPr>
          <w:trHeight w:val="566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3651" w:rsidRPr="001B3651" w:rsidRDefault="001B3651" w:rsidP="00BC3295">
            <w:pPr>
              <w:rPr>
                <w:rFonts w:ascii="Arial" w:hAnsi="Arial" w:cs="Arial"/>
                <w:sz w:val="20"/>
                <w:szCs w:val="20"/>
              </w:rPr>
            </w:pPr>
            <w:r w:rsidRPr="001B3651">
              <w:rPr>
                <w:rFonts w:ascii="Arial" w:hAnsi="Arial" w:cs="Arial"/>
                <w:sz w:val="20"/>
                <w:szCs w:val="20"/>
              </w:rPr>
              <w:t>Mettre en forme / exploiter / interpréter des éléments chiffrés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3651" w:rsidRPr="001B3651" w:rsidRDefault="001B3651" w:rsidP="005201A8">
            <w:pPr>
              <w:autoSpaceDE w:val="0"/>
              <w:autoSpaceDN w:val="0"/>
              <w:adjustRightInd w:val="0"/>
              <w:rPr>
                <w:rFonts w:ascii="ArialMT" w:eastAsia="Times New Roman" w:hAnsi="ArialMT" w:cs="ArialMT"/>
                <w:sz w:val="20"/>
                <w:szCs w:val="20"/>
              </w:rPr>
            </w:pPr>
          </w:p>
        </w:tc>
      </w:tr>
      <w:tr w:rsidR="00BC3295" w:rsidRPr="00F00310" w:rsidTr="003F3A0F">
        <w:trPr>
          <w:trHeight w:val="53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3295" w:rsidRPr="005A53AC" w:rsidRDefault="00BC3295" w:rsidP="005A53AC">
            <w:pPr>
              <w:ind w:right="-648"/>
              <w:jc w:val="center"/>
              <w:rPr>
                <w:rFonts w:ascii="ArialMT" w:eastAsia="Times New Roman" w:hAnsi="ArialMT" w:cs="ArialMT"/>
                <w:sz w:val="20"/>
                <w:szCs w:val="20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Savoirs faire relationnels et qualités professionnelles</w:t>
            </w:r>
          </w:p>
        </w:tc>
      </w:tr>
      <w:tr w:rsidR="009A4138" w:rsidRPr="00F00310" w:rsidTr="003F3A0F">
        <w:trPr>
          <w:trHeight w:val="879"/>
        </w:trPr>
        <w:tc>
          <w:tcPr>
            <w:tcW w:w="468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4138" w:rsidRDefault="009A4138" w:rsidP="00651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 de l’analyse et de la synthèse</w:t>
            </w:r>
          </w:p>
        </w:tc>
        <w:tc>
          <w:tcPr>
            <w:tcW w:w="55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4138" w:rsidRDefault="009A4138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138" w:rsidRPr="00F00310" w:rsidTr="00C54C0B">
        <w:trPr>
          <w:trHeight w:val="87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4138" w:rsidRDefault="009A4138" w:rsidP="00651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et créativité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4138" w:rsidRDefault="009A4138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138" w:rsidRPr="00F00310" w:rsidTr="00C54C0B">
        <w:trPr>
          <w:trHeight w:val="87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4138" w:rsidRDefault="005A53AC" w:rsidP="00651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Rigueur et méthode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4138" w:rsidRPr="00BA4AE5" w:rsidRDefault="009A4138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AC" w:rsidRPr="00F00310" w:rsidTr="00C54C0B">
        <w:trPr>
          <w:trHeight w:val="87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Default="005A53AC" w:rsidP="00675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stratégique et anticipatrice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Default="005A53AC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AC" w:rsidRPr="00F00310" w:rsidTr="00C54C0B">
        <w:trPr>
          <w:trHeight w:val="963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F00310" w:rsidRDefault="005A53AC" w:rsidP="0065192B">
            <w:pPr>
              <w:rPr>
                <w:rFonts w:ascii="Arial" w:hAnsi="Arial" w:cs="Arial"/>
                <w:sz w:val="20"/>
                <w:szCs w:val="20"/>
              </w:rPr>
            </w:pPr>
            <w:r w:rsidRPr="00A51C4E">
              <w:rPr>
                <w:rFonts w:ascii="Arial" w:hAnsi="Arial" w:cs="Arial"/>
                <w:sz w:val="20"/>
                <w:szCs w:val="20"/>
              </w:rPr>
              <w:lastRenderedPageBreak/>
              <w:t xml:space="preserve">Travailler </w:t>
            </w:r>
            <w:r>
              <w:rPr>
                <w:rFonts w:ascii="Arial" w:hAnsi="Arial" w:cs="Arial"/>
                <w:sz w:val="20"/>
                <w:szCs w:val="20"/>
              </w:rPr>
              <w:t>en équipe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A51C4E" w:rsidRDefault="005A53AC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51C4E">
              <w:rPr>
                <w:rFonts w:ascii="Arial" w:hAnsi="Arial" w:cs="Arial"/>
                <w:sz w:val="20"/>
                <w:szCs w:val="20"/>
              </w:rPr>
              <w:t>aire circuler l’information</w:t>
            </w:r>
          </w:p>
          <w:p w:rsidR="005A53AC" w:rsidRPr="00A51C4E" w:rsidRDefault="005A53AC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51C4E">
              <w:rPr>
                <w:rFonts w:ascii="Arial" w:hAnsi="Arial" w:cs="Arial"/>
                <w:sz w:val="20"/>
                <w:szCs w:val="20"/>
              </w:rPr>
              <w:t>ravailler en réseau</w:t>
            </w:r>
          </w:p>
          <w:p w:rsidR="005A53AC" w:rsidRPr="00AF77D5" w:rsidRDefault="005A53AC" w:rsidP="00A51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1C4E">
              <w:rPr>
                <w:rFonts w:ascii="Arial" w:hAnsi="Arial" w:cs="Arial"/>
                <w:sz w:val="20"/>
                <w:szCs w:val="20"/>
              </w:rPr>
              <w:t>'associer aux projets</w:t>
            </w:r>
          </w:p>
        </w:tc>
      </w:tr>
      <w:tr w:rsidR="005A53AC" w:rsidRPr="00F00310" w:rsidTr="001B3651">
        <w:trPr>
          <w:trHeight w:val="693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F00310" w:rsidRDefault="005A53AC" w:rsidP="00DE5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51">
              <w:rPr>
                <w:rFonts w:ascii="Arial" w:hAnsi="Arial" w:cs="Arial"/>
                <w:sz w:val="20"/>
                <w:szCs w:val="20"/>
              </w:rPr>
              <w:t>Animer un travail collectif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F00310" w:rsidRDefault="00D34266" w:rsidP="00D34266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A53AC" w:rsidRPr="001B3651">
              <w:rPr>
                <w:rFonts w:ascii="Arial" w:hAnsi="Arial" w:cs="Arial"/>
                <w:sz w:val="20"/>
                <w:szCs w:val="20"/>
              </w:rPr>
              <w:t>nimer et de faire déboucher un groupe de travail associant les agents</w:t>
            </w:r>
          </w:p>
        </w:tc>
      </w:tr>
      <w:tr w:rsidR="005A53AC" w:rsidRPr="00F00310" w:rsidTr="002E7C95">
        <w:trPr>
          <w:trHeight w:val="92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F00310" w:rsidRDefault="005A53AC" w:rsidP="002E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Adaptabilité professionnelle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1B3651" w:rsidRDefault="005A53AC" w:rsidP="002E7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Connaître le contexte et les besoins spécifiques de la structure en matière de formation</w:t>
            </w:r>
          </w:p>
        </w:tc>
      </w:tr>
      <w:tr w:rsidR="005A53AC" w:rsidRPr="00F00310" w:rsidTr="001B3651">
        <w:trPr>
          <w:trHeight w:val="562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F00310" w:rsidRDefault="005A53AC" w:rsidP="004C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 de l’écoute et du dialogue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1B3651" w:rsidRDefault="005A53AC" w:rsidP="001B3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AC" w:rsidRPr="00F00310" w:rsidTr="00C54C0B">
        <w:trPr>
          <w:trHeight w:val="767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Default="005A53AC" w:rsidP="004C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Pédagogie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1B3651" w:rsidRDefault="005A53AC" w:rsidP="001B3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AC" w:rsidRPr="00F00310" w:rsidTr="001C7335">
        <w:trPr>
          <w:trHeight w:val="552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F00310" w:rsidRDefault="005A53AC" w:rsidP="004C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Discrétion professionnelle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A53AC" w:rsidRPr="001B3651" w:rsidRDefault="005A53AC" w:rsidP="001B3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90A" w:rsidRPr="007554EE" w:rsidRDefault="00ED090A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923F9" w:rsidRPr="00E97668" w:rsidTr="003F3A0F">
        <w:trPr>
          <w:trHeight w:val="60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45AE"/>
            <w:vAlign w:val="center"/>
          </w:tcPr>
          <w:p w:rsidR="001923F9" w:rsidRPr="00E97668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7668">
              <w:rPr>
                <w:rFonts w:ascii="Arial" w:hAnsi="Arial" w:cs="Arial"/>
                <w:b/>
                <w:sz w:val="28"/>
                <w:szCs w:val="28"/>
              </w:rPr>
              <w:t>Conditions particulières d’exercice</w:t>
            </w:r>
          </w:p>
        </w:tc>
      </w:tr>
      <w:tr w:rsidR="001923F9" w:rsidRPr="00E1694B" w:rsidTr="003F3A0F">
        <w:trPr>
          <w:trHeight w:val="837"/>
        </w:trPr>
        <w:tc>
          <w:tcPr>
            <w:tcW w:w="10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23F9" w:rsidRPr="005068D5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68D5">
              <w:rPr>
                <w:rFonts w:ascii="Arial" w:hAnsi="Arial" w:cs="Arial"/>
                <w:b/>
                <w:sz w:val="20"/>
                <w:szCs w:val="20"/>
              </w:rPr>
              <w:t>Périmètre d’intervention :</w:t>
            </w:r>
          </w:p>
          <w:p w:rsidR="001923F9" w:rsidRDefault="001923F9" w:rsidP="00342BD3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</w:p>
          <w:p w:rsidR="00D53188" w:rsidRDefault="00D53188" w:rsidP="00D5318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Transversalité : relations internes avec tous les services et directions en fonction du périmètre.</w:t>
            </w:r>
          </w:p>
          <w:p w:rsidR="00AC2B2E" w:rsidRPr="007E775F" w:rsidRDefault="00AC2B2E" w:rsidP="00342BD3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</w:p>
          <w:p w:rsidR="001923F9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97668">
              <w:rPr>
                <w:rFonts w:ascii="Arial" w:hAnsi="Arial" w:cs="Arial"/>
                <w:b/>
                <w:sz w:val="20"/>
                <w:szCs w:val="20"/>
              </w:rPr>
              <w:t>Modalités et conditions de travail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D53188" w:rsidRPr="007E775F" w:rsidRDefault="00D53188" w:rsidP="00D53188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</w:p>
          <w:p w:rsidR="00D53188" w:rsidRDefault="00D53188" w:rsidP="00D53188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Lorsqu’elle/il est responsable de formation, coordonne hiérarchiquement l’action de l’ensemble des chargés de l’ingénierie de formation.</w:t>
            </w:r>
          </w:p>
          <w:p w:rsidR="00970473" w:rsidRDefault="00D53188" w:rsidP="00D53188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 le réseau D(R</w:t>
            </w:r>
            <w:proofErr w:type="gramStart"/>
            <w:r>
              <w:rPr>
                <w:rFonts w:ascii="Arial" w:hAnsi="Arial" w:cs="Arial"/>
                <w:sz w:val="20"/>
              </w:rPr>
              <w:t>)(</w:t>
            </w:r>
            <w:proofErr w:type="gramEnd"/>
            <w:r>
              <w:rPr>
                <w:rFonts w:ascii="Arial" w:hAnsi="Arial" w:cs="Arial"/>
                <w:sz w:val="20"/>
              </w:rPr>
              <w:t>D)JSCS, elle/il coordonne fonctionnellement les correspondants de formation départementaux.</w:t>
            </w:r>
          </w:p>
          <w:p w:rsidR="00D53188" w:rsidRPr="00D53188" w:rsidRDefault="00D53188" w:rsidP="00D53188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77C5D" w:rsidRDefault="00A77C5D" w:rsidP="001923F9"/>
    <w:sectPr w:rsidR="00A77C5D" w:rsidSect="0006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D7" w:rsidRDefault="00B06AD7">
      <w:r>
        <w:separator/>
      </w:r>
    </w:p>
  </w:endnote>
  <w:endnote w:type="continuationSeparator" w:id="0">
    <w:p w:rsidR="00B06AD7" w:rsidRDefault="00B0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D7" w:rsidRDefault="00B06AD7">
      <w:r>
        <w:separator/>
      </w:r>
    </w:p>
  </w:footnote>
  <w:footnote w:type="continuationSeparator" w:id="0">
    <w:p w:rsidR="00B06AD7" w:rsidRDefault="00B0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2D"/>
    <w:multiLevelType w:val="hybridMultilevel"/>
    <w:tmpl w:val="A4C8F75C"/>
    <w:lvl w:ilvl="0" w:tplc="100AA278">
      <w:start w:val="1"/>
      <w:numFmt w:val="bullet"/>
      <w:lvlText w:val=""/>
      <w:lvlJc w:val="left"/>
      <w:pPr>
        <w:tabs>
          <w:tab w:val="num" w:pos="851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727C"/>
    <w:multiLevelType w:val="hybridMultilevel"/>
    <w:tmpl w:val="C73006DC"/>
    <w:lvl w:ilvl="0" w:tplc="1AC2F4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442A"/>
    <w:multiLevelType w:val="hybridMultilevel"/>
    <w:tmpl w:val="DCF08CDC"/>
    <w:lvl w:ilvl="0" w:tplc="684E0B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7040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7C7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ABC2B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734F7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D13A35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602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FA20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>
    <w:nsid w:val="1BC21E2E"/>
    <w:multiLevelType w:val="hybridMultilevel"/>
    <w:tmpl w:val="4DE002A8"/>
    <w:lvl w:ilvl="0" w:tplc="8FD0C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709EE"/>
    <w:multiLevelType w:val="hybridMultilevel"/>
    <w:tmpl w:val="3AD8DC66"/>
    <w:lvl w:ilvl="0" w:tplc="8D989F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B176F"/>
    <w:multiLevelType w:val="hybridMultilevel"/>
    <w:tmpl w:val="5874A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7476E"/>
    <w:multiLevelType w:val="multilevel"/>
    <w:tmpl w:val="8BE8C992"/>
    <w:lvl w:ilvl="0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05651"/>
    <w:multiLevelType w:val="hybridMultilevel"/>
    <w:tmpl w:val="30CEB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A2966"/>
    <w:multiLevelType w:val="hybridMultilevel"/>
    <w:tmpl w:val="254C6168"/>
    <w:lvl w:ilvl="0" w:tplc="33FE1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B3E60"/>
    <w:multiLevelType w:val="hybridMultilevel"/>
    <w:tmpl w:val="4F56F5BC"/>
    <w:lvl w:ilvl="0" w:tplc="D28828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F014C"/>
    <w:multiLevelType w:val="hybridMultilevel"/>
    <w:tmpl w:val="CCB8684E"/>
    <w:lvl w:ilvl="0" w:tplc="040C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1">
    <w:nsid w:val="532B714A"/>
    <w:multiLevelType w:val="hybridMultilevel"/>
    <w:tmpl w:val="CC00CF26"/>
    <w:lvl w:ilvl="0" w:tplc="660090DC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C070E"/>
    <w:multiLevelType w:val="hybridMultilevel"/>
    <w:tmpl w:val="8BE8C992"/>
    <w:lvl w:ilvl="0" w:tplc="19FE98BA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81F4D"/>
    <w:multiLevelType w:val="hybridMultilevel"/>
    <w:tmpl w:val="E5D24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E6119"/>
    <w:multiLevelType w:val="multilevel"/>
    <w:tmpl w:val="3AD8DC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82F29"/>
    <w:multiLevelType w:val="hybridMultilevel"/>
    <w:tmpl w:val="7CEE15F8"/>
    <w:lvl w:ilvl="0" w:tplc="21D2E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758C9"/>
    <w:multiLevelType w:val="hybridMultilevel"/>
    <w:tmpl w:val="DCCC36F4"/>
    <w:lvl w:ilvl="0" w:tplc="BA025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45AE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7"/>
    <w:rsid w:val="0000433D"/>
    <w:rsid w:val="00017B0E"/>
    <w:rsid w:val="00020F69"/>
    <w:rsid w:val="000259E3"/>
    <w:rsid w:val="00035A19"/>
    <w:rsid w:val="00043374"/>
    <w:rsid w:val="00060741"/>
    <w:rsid w:val="0006610A"/>
    <w:rsid w:val="0006776B"/>
    <w:rsid w:val="00073058"/>
    <w:rsid w:val="00090BDF"/>
    <w:rsid w:val="0009185C"/>
    <w:rsid w:val="00094120"/>
    <w:rsid w:val="000D09CF"/>
    <w:rsid w:val="000D1139"/>
    <w:rsid w:val="000D26B1"/>
    <w:rsid w:val="000D3F1A"/>
    <w:rsid w:val="000D403C"/>
    <w:rsid w:val="000D410F"/>
    <w:rsid w:val="000F47BC"/>
    <w:rsid w:val="00110872"/>
    <w:rsid w:val="00112893"/>
    <w:rsid w:val="00113F00"/>
    <w:rsid w:val="00114009"/>
    <w:rsid w:val="00114D3B"/>
    <w:rsid w:val="00116467"/>
    <w:rsid w:val="001210E1"/>
    <w:rsid w:val="00133827"/>
    <w:rsid w:val="00135301"/>
    <w:rsid w:val="001360B1"/>
    <w:rsid w:val="001508C9"/>
    <w:rsid w:val="00152632"/>
    <w:rsid w:val="00152670"/>
    <w:rsid w:val="001529B8"/>
    <w:rsid w:val="00156781"/>
    <w:rsid w:val="0015787D"/>
    <w:rsid w:val="001656F2"/>
    <w:rsid w:val="00190F9F"/>
    <w:rsid w:val="001923F9"/>
    <w:rsid w:val="00195CB4"/>
    <w:rsid w:val="00196F27"/>
    <w:rsid w:val="001973B8"/>
    <w:rsid w:val="00197B5D"/>
    <w:rsid w:val="001A42B6"/>
    <w:rsid w:val="001B3651"/>
    <w:rsid w:val="001B6366"/>
    <w:rsid w:val="001C0655"/>
    <w:rsid w:val="001C4C1C"/>
    <w:rsid w:val="001C7335"/>
    <w:rsid w:val="001E0F6F"/>
    <w:rsid w:val="001E4D4C"/>
    <w:rsid w:val="001E6438"/>
    <w:rsid w:val="001F5409"/>
    <w:rsid w:val="002066C8"/>
    <w:rsid w:val="0020694F"/>
    <w:rsid w:val="00207D33"/>
    <w:rsid w:val="0021052F"/>
    <w:rsid w:val="00237CBF"/>
    <w:rsid w:val="00241F80"/>
    <w:rsid w:val="00247DBE"/>
    <w:rsid w:val="00261C6C"/>
    <w:rsid w:val="002668B5"/>
    <w:rsid w:val="002730F4"/>
    <w:rsid w:val="0028522D"/>
    <w:rsid w:val="00285690"/>
    <w:rsid w:val="002A4E29"/>
    <w:rsid w:val="002A64D3"/>
    <w:rsid w:val="002A7197"/>
    <w:rsid w:val="002B2A88"/>
    <w:rsid w:val="002B372F"/>
    <w:rsid w:val="002B494A"/>
    <w:rsid w:val="002B6AA4"/>
    <w:rsid w:val="002C2D92"/>
    <w:rsid w:val="002D32E1"/>
    <w:rsid w:val="002E0DDC"/>
    <w:rsid w:val="002E66EF"/>
    <w:rsid w:val="003029B2"/>
    <w:rsid w:val="00325D4E"/>
    <w:rsid w:val="00341CFB"/>
    <w:rsid w:val="00342BD3"/>
    <w:rsid w:val="00343D69"/>
    <w:rsid w:val="003473D0"/>
    <w:rsid w:val="00353FED"/>
    <w:rsid w:val="003576A5"/>
    <w:rsid w:val="003606BE"/>
    <w:rsid w:val="00364A11"/>
    <w:rsid w:val="00364C03"/>
    <w:rsid w:val="0036691E"/>
    <w:rsid w:val="00383D3C"/>
    <w:rsid w:val="003858A8"/>
    <w:rsid w:val="00396134"/>
    <w:rsid w:val="003A7D94"/>
    <w:rsid w:val="003B1521"/>
    <w:rsid w:val="003B3987"/>
    <w:rsid w:val="003B631D"/>
    <w:rsid w:val="003C0B9C"/>
    <w:rsid w:val="003C35C9"/>
    <w:rsid w:val="003F3A0F"/>
    <w:rsid w:val="004074F9"/>
    <w:rsid w:val="00410993"/>
    <w:rsid w:val="004120A2"/>
    <w:rsid w:val="00417401"/>
    <w:rsid w:val="00427F04"/>
    <w:rsid w:val="00427F44"/>
    <w:rsid w:val="00431CC9"/>
    <w:rsid w:val="00431E73"/>
    <w:rsid w:val="0043297E"/>
    <w:rsid w:val="00433845"/>
    <w:rsid w:val="0043504F"/>
    <w:rsid w:val="00437DF9"/>
    <w:rsid w:val="00444F94"/>
    <w:rsid w:val="00446970"/>
    <w:rsid w:val="0045324A"/>
    <w:rsid w:val="0046178A"/>
    <w:rsid w:val="00470F19"/>
    <w:rsid w:val="00472F21"/>
    <w:rsid w:val="00481BF0"/>
    <w:rsid w:val="00482B2D"/>
    <w:rsid w:val="00491F1E"/>
    <w:rsid w:val="00497282"/>
    <w:rsid w:val="004A023F"/>
    <w:rsid w:val="004B4EBA"/>
    <w:rsid w:val="004B7D59"/>
    <w:rsid w:val="004C0A85"/>
    <w:rsid w:val="004C2935"/>
    <w:rsid w:val="004C4FA1"/>
    <w:rsid w:val="004C5B40"/>
    <w:rsid w:val="004D32C0"/>
    <w:rsid w:val="004D3DAB"/>
    <w:rsid w:val="004E7F9D"/>
    <w:rsid w:val="004F1C05"/>
    <w:rsid w:val="004F510C"/>
    <w:rsid w:val="004F5FC4"/>
    <w:rsid w:val="004F6529"/>
    <w:rsid w:val="005010BE"/>
    <w:rsid w:val="005068D5"/>
    <w:rsid w:val="005201A8"/>
    <w:rsid w:val="00534E6C"/>
    <w:rsid w:val="00545E2B"/>
    <w:rsid w:val="005529A9"/>
    <w:rsid w:val="00561EC1"/>
    <w:rsid w:val="005756AD"/>
    <w:rsid w:val="00586387"/>
    <w:rsid w:val="0059251F"/>
    <w:rsid w:val="0059696D"/>
    <w:rsid w:val="005A1D61"/>
    <w:rsid w:val="005A53AC"/>
    <w:rsid w:val="005B3E60"/>
    <w:rsid w:val="005B51CD"/>
    <w:rsid w:val="005B7FF0"/>
    <w:rsid w:val="005C4548"/>
    <w:rsid w:val="005D39DF"/>
    <w:rsid w:val="005D4659"/>
    <w:rsid w:val="005D768E"/>
    <w:rsid w:val="005E23D4"/>
    <w:rsid w:val="005E479E"/>
    <w:rsid w:val="005F6468"/>
    <w:rsid w:val="00603EBF"/>
    <w:rsid w:val="00612D01"/>
    <w:rsid w:val="0063028B"/>
    <w:rsid w:val="00633A79"/>
    <w:rsid w:val="00646DCB"/>
    <w:rsid w:val="0065192B"/>
    <w:rsid w:val="0065314D"/>
    <w:rsid w:val="00660CEA"/>
    <w:rsid w:val="00661818"/>
    <w:rsid w:val="00663F76"/>
    <w:rsid w:val="0066421B"/>
    <w:rsid w:val="00665FF8"/>
    <w:rsid w:val="00670356"/>
    <w:rsid w:val="006708BC"/>
    <w:rsid w:val="006722D3"/>
    <w:rsid w:val="00683F5E"/>
    <w:rsid w:val="006845E5"/>
    <w:rsid w:val="006934E1"/>
    <w:rsid w:val="00696EC1"/>
    <w:rsid w:val="00697B5D"/>
    <w:rsid w:val="006A6518"/>
    <w:rsid w:val="006C1839"/>
    <w:rsid w:val="006C1E94"/>
    <w:rsid w:val="006C627E"/>
    <w:rsid w:val="006D34ED"/>
    <w:rsid w:val="006D6473"/>
    <w:rsid w:val="006E1A34"/>
    <w:rsid w:val="006E1D98"/>
    <w:rsid w:val="006E583D"/>
    <w:rsid w:val="007131E4"/>
    <w:rsid w:val="0072222C"/>
    <w:rsid w:val="0072474B"/>
    <w:rsid w:val="00730100"/>
    <w:rsid w:val="00735F9B"/>
    <w:rsid w:val="00737085"/>
    <w:rsid w:val="00737EA7"/>
    <w:rsid w:val="00744F60"/>
    <w:rsid w:val="00747822"/>
    <w:rsid w:val="00750AFA"/>
    <w:rsid w:val="00751256"/>
    <w:rsid w:val="00753F64"/>
    <w:rsid w:val="00755309"/>
    <w:rsid w:val="007554EE"/>
    <w:rsid w:val="00770158"/>
    <w:rsid w:val="007727A2"/>
    <w:rsid w:val="0078192C"/>
    <w:rsid w:val="0078602C"/>
    <w:rsid w:val="00796577"/>
    <w:rsid w:val="007A222E"/>
    <w:rsid w:val="007A54E1"/>
    <w:rsid w:val="007B3174"/>
    <w:rsid w:val="007B39B6"/>
    <w:rsid w:val="007B7EA0"/>
    <w:rsid w:val="007D2355"/>
    <w:rsid w:val="007D5829"/>
    <w:rsid w:val="007D7D0C"/>
    <w:rsid w:val="007E4403"/>
    <w:rsid w:val="007E775F"/>
    <w:rsid w:val="007F1D99"/>
    <w:rsid w:val="007F2BF4"/>
    <w:rsid w:val="008150B7"/>
    <w:rsid w:val="00815BB6"/>
    <w:rsid w:val="0082526F"/>
    <w:rsid w:val="008253EF"/>
    <w:rsid w:val="00836BE7"/>
    <w:rsid w:val="00844333"/>
    <w:rsid w:val="00855D69"/>
    <w:rsid w:val="00865EFE"/>
    <w:rsid w:val="00873533"/>
    <w:rsid w:val="0087477A"/>
    <w:rsid w:val="00883C0C"/>
    <w:rsid w:val="00885D17"/>
    <w:rsid w:val="0089064E"/>
    <w:rsid w:val="0089523C"/>
    <w:rsid w:val="00895AE8"/>
    <w:rsid w:val="008A0D6D"/>
    <w:rsid w:val="008A7AA4"/>
    <w:rsid w:val="008B0B29"/>
    <w:rsid w:val="008B3826"/>
    <w:rsid w:val="008B710B"/>
    <w:rsid w:val="008B741F"/>
    <w:rsid w:val="008C3546"/>
    <w:rsid w:val="008D6891"/>
    <w:rsid w:val="008E1135"/>
    <w:rsid w:val="008E2DD5"/>
    <w:rsid w:val="008E454F"/>
    <w:rsid w:val="008E5560"/>
    <w:rsid w:val="009018FA"/>
    <w:rsid w:val="009031F6"/>
    <w:rsid w:val="00926BD7"/>
    <w:rsid w:val="00930CA7"/>
    <w:rsid w:val="00933DF0"/>
    <w:rsid w:val="009379E6"/>
    <w:rsid w:val="0094020B"/>
    <w:rsid w:val="009451DB"/>
    <w:rsid w:val="009463F0"/>
    <w:rsid w:val="0095340C"/>
    <w:rsid w:val="00964636"/>
    <w:rsid w:val="00970473"/>
    <w:rsid w:val="009839EB"/>
    <w:rsid w:val="009856A8"/>
    <w:rsid w:val="00985D47"/>
    <w:rsid w:val="009A001D"/>
    <w:rsid w:val="009A4138"/>
    <w:rsid w:val="009C0DFE"/>
    <w:rsid w:val="009D4E10"/>
    <w:rsid w:val="009D69D0"/>
    <w:rsid w:val="009F2F8F"/>
    <w:rsid w:val="009F3CB5"/>
    <w:rsid w:val="00A0147E"/>
    <w:rsid w:val="00A03E06"/>
    <w:rsid w:val="00A1478A"/>
    <w:rsid w:val="00A24CE4"/>
    <w:rsid w:val="00A26175"/>
    <w:rsid w:val="00A347DC"/>
    <w:rsid w:val="00A42AB7"/>
    <w:rsid w:val="00A51C4E"/>
    <w:rsid w:val="00A51F51"/>
    <w:rsid w:val="00A55671"/>
    <w:rsid w:val="00A63D3E"/>
    <w:rsid w:val="00A77350"/>
    <w:rsid w:val="00A77C5D"/>
    <w:rsid w:val="00A85213"/>
    <w:rsid w:val="00A94A53"/>
    <w:rsid w:val="00AA6284"/>
    <w:rsid w:val="00AC2B2E"/>
    <w:rsid w:val="00AC2F02"/>
    <w:rsid w:val="00AD39D7"/>
    <w:rsid w:val="00AD621E"/>
    <w:rsid w:val="00AE437C"/>
    <w:rsid w:val="00AE4B95"/>
    <w:rsid w:val="00AE5822"/>
    <w:rsid w:val="00AE5E5C"/>
    <w:rsid w:val="00AE7FF3"/>
    <w:rsid w:val="00AF77D5"/>
    <w:rsid w:val="00B02676"/>
    <w:rsid w:val="00B02C6C"/>
    <w:rsid w:val="00B05657"/>
    <w:rsid w:val="00B06AD7"/>
    <w:rsid w:val="00B12D8F"/>
    <w:rsid w:val="00B12E1E"/>
    <w:rsid w:val="00B14100"/>
    <w:rsid w:val="00B15D4D"/>
    <w:rsid w:val="00B1638E"/>
    <w:rsid w:val="00B17A67"/>
    <w:rsid w:val="00B226A5"/>
    <w:rsid w:val="00B23FF9"/>
    <w:rsid w:val="00B311B9"/>
    <w:rsid w:val="00B3148F"/>
    <w:rsid w:val="00B4386B"/>
    <w:rsid w:val="00B45037"/>
    <w:rsid w:val="00B52DC9"/>
    <w:rsid w:val="00B535CD"/>
    <w:rsid w:val="00B56AC8"/>
    <w:rsid w:val="00B57ACD"/>
    <w:rsid w:val="00B60A74"/>
    <w:rsid w:val="00B67185"/>
    <w:rsid w:val="00B67359"/>
    <w:rsid w:val="00B74876"/>
    <w:rsid w:val="00B778B2"/>
    <w:rsid w:val="00B806F9"/>
    <w:rsid w:val="00B83782"/>
    <w:rsid w:val="00B8628D"/>
    <w:rsid w:val="00B96E81"/>
    <w:rsid w:val="00BA1D09"/>
    <w:rsid w:val="00BA264D"/>
    <w:rsid w:val="00BA4AE5"/>
    <w:rsid w:val="00BB4815"/>
    <w:rsid w:val="00BC3295"/>
    <w:rsid w:val="00BD1DFF"/>
    <w:rsid w:val="00C0478E"/>
    <w:rsid w:val="00C075C7"/>
    <w:rsid w:val="00C25213"/>
    <w:rsid w:val="00C54C0B"/>
    <w:rsid w:val="00C5708F"/>
    <w:rsid w:val="00C617F9"/>
    <w:rsid w:val="00C61D3D"/>
    <w:rsid w:val="00C7263D"/>
    <w:rsid w:val="00C85D9E"/>
    <w:rsid w:val="00C873E2"/>
    <w:rsid w:val="00C91B23"/>
    <w:rsid w:val="00CA4539"/>
    <w:rsid w:val="00CB6197"/>
    <w:rsid w:val="00CC2CC7"/>
    <w:rsid w:val="00CC2FF8"/>
    <w:rsid w:val="00CC4234"/>
    <w:rsid w:val="00CC4877"/>
    <w:rsid w:val="00CD7F31"/>
    <w:rsid w:val="00CE0E82"/>
    <w:rsid w:val="00CE5F6F"/>
    <w:rsid w:val="00CF0A00"/>
    <w:rsid w:val="00CF14CC"/>
    <w:rsid w:val="00CF4B4C"/>
    <w:rsid w:val="00D00FB3"/>
    <w:rsid w:val="00D15B1B"/>
    <w:rsid w:val="00D20ADB"/>
    <w:rsid w:val="00D215C4"/>
    <w:rsid w:val="00D2319D"/>
    <w:rsid w:val="00D34266"/>
    <w:rsid w:val="00D37D36"/>
    <w:rsid w:val="00D53188"/>
    <w:rsid w:val="00D626DA"/>
    <w:rsid w:val="00D71E4B"/>
    <w:rsid w:val="00D861A9"/>
    <w:rsid w:val="00D863C8"/>
    <w:rsid w:val="00DA0788"/>
    <w:rsid w:val="00DA3B08"/>
    <w:rsid w:val="00DB0EEF"/>
    <w:rsid w:val="00DD4FEB"/>
    <w:rsid w:val="00DE1A72"/>
    <w:rsid w:val="00DE2B11"/>
    <w:rsid w:val="00DE51BB"/>
    <w:rsid w:val="00DE5371"/>
    <w:rsid w:val="00DE5EB3"/>
    <w:rsid w:val="00DF044A"/>
    <w:rsid w:val="00DF495C"/>
    <w:rsid w:val="00DF4999"/>
    <w:rsid w:val="00E038EE"/>
    <w:rsid w:val="00E1694B"/>
    <w:rsid w:val="00E32852"/>
    <w:rsid w:val="00E329E4"/>
    <w:rsid w:val="00E35643"/>
    <w:rsid w:val="00E4294C"/>
    <w:rsid w:val="00E51D81"/>
    <w:rsid w:val="00E61F37"/>
    <w:rsid w:val="00E66F4B"/>
    <w:rsid w:val="00E71C3A"/>
    <w:rsid w:val="00E731BA"/>
    <w:rsid w:val="00E807ED"/>
    <w:rsid w:val="00E84623"/>
    <w:rsid w:val="00E849A4"/>
    <w:rsid w:val="00E92C65"/>
    <w:rsid w:val="00E97668"/>
    <w:rsid w:val="00EA1052"/>
    <w:rsid w:val="00EA1B31"/>
    <w:rsid w:val="00EA2E81"/>
    <w:rsid w:val="00EA6625"/>
    <w:rsid w:val="00EB5777"/>
    <w:rsid w:val="00EC2609"/>
    <w:rsid w:val="00ED090A"/>
    <w:rsid w:val="00ED1E25"/>
    <w:rsid w:val="00ED239C"/>
    <w:rsid w:val="00ED50FD"/>
    <w:rsid w:val="00ED5C44"/>
    <w:rsid w:val="00EF66D5"/>
    <w:rsid w:val="00F00310"/>
    <w:rsid w:val="00F009F8"/>
    <w:rsid w:val="00F03F6D"/>
    <w:rsid w:val="00F22B8E"/>
    <w:rsid w:val="00F32CB8"/>
    <w:rsid w:val="00F4038D"/>
    <w:rsid w:val="00F438BE"/>
    <w:rsid w:val="00F53A2B"/>
    <w:rsid w:val="00F557C1"/>
    <w:rsid w:val="00F5755C"/>
    <w:rsid w:val="00F6765F"/>
    <w:rsid w:val="00F67B61"/>
    <w:rsid w:val="00F707B3"/>
    <w:rsid w:val="00F748AC"/>
    <w:rsid w:val="00F77639"/>
    <w:rsid w:val="00F77AD6"/>
    <w:rsid w:val="00F8750A"/>
    <w:rsid w:val="00F9160F"/>
    <w:rsid w:val="00FA1913"/>
    <w:rsid w:val="00FA5D4A"/>
    <w:rsid w:val="00FB5916"/>
    <w:rsid w:val="00FB7735"/>
    <w:rsid w:val="00FC039B"/>
    <w:rsid w:val="00FC25CF"/>
    <w:rsid w:val="00FD009F"/>
    <w:rsid w:val="00FE1BC0"/>
    <w:rsid w:val="00FE6402"/>
    <w:rsid w:val="00FF2E25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6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E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C293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6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4C2935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locked/>
    <w:rsid w:val="007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23F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B1521"/>
    <w:rPr>
      <w:sz w:val="16"/>
      <w:szCs w:val="16"/>
    </w:rPr>
  </w:style>
  <w:style w:type="paragraph" w:styleId="Commentaire">
    <w:name w:val="annotation text"/>
    <w:basedOn w:val="Normal"/>
    <w:semiHidden/>
    <w:rsid w:val="003B15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B1521"/>
    <w:rPr>
      <w:b/>
      <w:bCs/>
    </w:rPr>
  </w:style>
  <w:style w:type="paragraph" w:styleId="Paragraphedeliste">
    <w:name w:val="List Paragraph"/>
    <w:basedOn w:val="Normal"/>
    <w:uiPriority w:val="34"/>
    <w:qFormat/>
    <w:rsid w:val="0078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6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E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C293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6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4C2935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locked/>
    <w:rsid w:val="007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23F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B1521"/>
    <w:rPr>
      <w:sz w:val="16"/>
      <w:szCs w:val="16"/>
    </w:rPr>
  </w:style>
  <w:style w:type="paragraph" w:styleId="Commentaire">
    <w:name w:val="annotation text"/>
    <w:basedOn w:val="Normal"/>
    <w:semiHidden/>
    <w:rsid w:val="003B15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B1521"/>
    <w:rPr>
      <w:b/>
      <w:bCs/>
    </w:rPr>
  </w:style>
  <w:style w:type="paragraph" w:styleId="Paragraphedeliste">
    <w:name w:val="List Paragraph"/>
    <w:basedOn w:val="Normal"/>
    <w:uiPriority w:val="34"/>
    <w:qFormat/>
    <w:rsid w:val="0078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5991-F27E-4DE8-9CD3-0CFD890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715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Famille professionnelle</vt:lpstr>
    </vt:vector>
  </TitlesOfParts>
  <Company>MSS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Famille professionnelle</dc:title>
  <dc:creator>henryb</dc:creator>
  <cp:lastModifiedBy>BENUFFE, Lucien (DRH/SD1/SD1A)</cp:lastModifiedBy>
  <cp:revision>19</cp:revision>
  <cp:lastPrinted>2015-06-08T09:18:00Z</cp:lastPrinted>
  <dcterms:created xsi:type="dcterms:W3CDTF">2017-12-18T09:19:00Z</dcterms:created>
  <dcterms:modified xsi:type="dcterms:W3CDTF">2018-02-08T14:42:00Z</dcterms:modified>
</cp:coreProperties>
</file>