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721"/>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2"/>
        <w:gridCol w:w="3172"/>
        <w:gridCol w:w="1326"/>
        <w:gridCol w:w="1708"/>
        <w:gridCol w:w="1571"/>
      </w:tblGrid>
      <w:tr w:rsidR="00A90BD4" w:rsidRPr="007554EE" w:rsidTr="00611C6C">
        <w:trPr>
          <w:trHeight w:val="525"/>
        </w:trPr>
        <w:tc>
          <w:tcPr>
            <w:tcW w:w="2682" w:type="dxa"/>
            <w:tcBorders>
              <w:bottom w:val="single" w:sz="4" w:space="0" w:color="auto"/>
            </w:tcBorders>
            <w:shd w:val="clear" w:color="auto" w:fill="D9D9D9"/>
          </w:tcPr>
          <w:p w:rsidR="00A90BD4" w:rsidRPr="007554EE" w:rsidRDefault="00A90BD4" w:rsidP="00611C6C">
            <w:pPr>
              <w:spacing w:before="120"/>
              <w:jc w:val="center"/>
              <w:rPr>
                <w:rFonts w:ascii="Arial" w:hAnsi="Arial" w:cs="Arial"/>
                <w:b/>
                <w:bCs/>
                <w:sz w:val="26"/>
                <w:szCs w:val="26"/>
              </w:rPr>
            </w:pPr>
            <w:r w:rsidRPr="007554EE">
              <w:rPr>
                <w:rFonts w:ascii="Arial" w:hAnsi="Arial" w:cs="Arial"/>
                <w:b/>
                <w:bCs/>
                <w:sz w:val="26"/>
                <w:szCs w:val="26"/>
              </w:rPr>
              <w:t>Famille professionnelle</w:t>
            </w:r>
          </w:p>
        </w:tc>
        <w:tc>
          <w:tcPr>
            <w:tcW w:w="3172" w:type="dxa"/>
            <w:vMerge w:val="restart"/>
            <w:tcBorders>
              <w:top w:val="nil"/>
            </w:tcBorders>
            <w:vAlign w:val="center"/>
          </w:tcPr>
          <w:p w:rsidR="00A90BD4" w:rsidRPr="007554EE" w:rsidRDefault="00A90BD4" w:rsidP="00611C6C">
            <w:pPr>
              <w:jc w:val="center"/>
              <w:rPr>
                <w:rFonts w:ascii="Arial" w:hAnsi="Arial" w:cs="Arial"/>
                <w:b/>
                <w:bCs/>
                <w:sz w:val="26"/>
                <w:szCs w:val="26"/>
              </w:rPr>
            </w:pPr>
            <w:r w:rsidRPr="007554EE">
              <w:rPr>
                <w:rFonts w:ascii="Arial" w:hAnsi="Arial" w:cs="Arial"/>
                <w:b/>
                <w:caps/>
                <w:sz w:val="28"/>
                <w:szCs w:val="32"/>
              </w:rPr>
              <w:t xml:space="preserve">Responsable de l’Élaboration d’un programme d’inspectioN, de contrÔle, d’AUDIT ET D’ÉVALUATION </w:t>
            </w:r>
          </w:p>
        </w:tc>
        <w:tc>
          <w:tcPr>
            <w:tcW w:w="4605" w:type="dxa"/>
            <w:gridSpan w:val="3"/>
            <w:shd w:val="clear" w:color="auto" w:fill="D9D9D9"/>
            <w:vAlign w:val="center"/>
          </w:tcPr>
          <w:p w:rsidR="00A90BD4" w:rsidRPr="007554EE" w:rsidRDefault="00A90BD4" w:rsidP="00611C6C">
            <w:pPr>
              <w:spacing w:before="120"/>
              <w:jc w:val="center"/>
              <w:rPr>
                <w:rFonts w:ascii="Arial" w:hAnsi="Arial" w:cs="Arial"/>
                <w:b/>
                <w:bCs/>
                <w:sz w:val="26"/>
                <w:szCs w:val="26"/>
              </w:rPr>
            </w:pPr>
            <w:r w:rsidRPr="007554EE">
              <w:rPr>
                <w:rFonts w:ascii="Arial" w:hAnsi="Arial" w:cs="Arial"/>
                <w:b/>
                <w:bCs/>
                <w:sz w:val="26"/>
                <w:szCs w:val="26"/>
              </w:rPr>
              <w:t>Codes</w:t>
            </w:r>
          </w:p>
        </w:tc>
      </w:tr>
      <w:tr w:rsidR="00A90BD4" w:rsidRPr="007554EE" w:rsidTr="00611C6C">
        <w:trPr>
          <w:trHeight w:val="1080"/>
        </w:trPr>
        <w:tc>
          <w:tcPr>
            <w:tcW w:w="2682" w:type="dxa"/>
            <w:tcBorders>
              <w:left w:val="single" w:sz="4" w:space="0" w:color="auto"/>
              <w:bottom w:val="single" w:sz="4" w:space="0" w:color="auto"/>
            </w:tcBorders>
            <w:shd w:val="clear" w:color="auto" w:fill="FFF272"/>
            <w:vAlign w:val="center"/>
          </w:tcPr>
          <w:p w:rsidR="00A90BD4" w:rsidRPr="007554EE" w:rsidRDefault="00A90BD4" w:rsidP="00611C6C">
            <w:pPr>
              <w:jc w:val="center"/>
              <w:rPr>
                <w:rFonts w:ascii="Arial" w:hAnsi="Arial" w:cs="Arial"/>
                <w:b/>
                <w:bCs/>
                <w:sz w:val="28"/>
              </w:rPr>
            </w:pPr>
            <w:r w:rsidRPr="007554EE">
              <w:rPr>
                <w:rFonts w:ascii="Arial" w:hAnsi="Arial" w:cs="Arial"/>
                <w:b/>
                <w:bCs/>
                <w:sz w:val="28"/>
              </w:rPr>
              <w:t>Observation, inspection, contrôle, audit et évaluation</w:t>
            </w:r>
          </w:p>
        </w:tc>
        <w:tc>
          <w:tcPr>
            <w:tcW w:w="3172" w:type="dxa"/>
            <w:vMerge/>
            <w:tcBorders>
              <w:bottom w:val="nil"/>
            </w:tcBorders>
            <w:vAlign w:val="center"/>
          </w:tcPr>
          <w:p w:rsidR="00A90BD4" w:rsidRPr="007554EE" w:rsidRDefault="00A90BD4" w:rsidP="00611C6C">
            <w:pPr>
              <w:jc w:val="center"/>
              <w:rPr>
                <w:rFonts w:ascii="Arial" w:hAnsi="Arial" w:cs="Arial"/>
                <w:b/>
                <w:caps/>
                <w:sz w:val="28"/>
                <w:szCs w:val="32"/>
              </w:rPr>
            </w:pPr>
          </w:p>
        </w:tc>
        <w:tc>
          <w:tcPr>
            <w:tcW w:w="1326" w:type="dxa"/>
            <w:tcBorders>
              <w:bottom w:val="single" w:sz="4" w:space="0" w:color="auto"/>
              <w:right w:val="dashed" w:sz="4" w:space="0" w:color="auto"/>
            </w:tcBorders>
          </w:tcPr>
          <w:p w:rsidR="00A90BD4" w:rsidRPr="007554EE" w:rsidRDefault="00A90BD4" w:rsidP="00611C6C">
            <w:pPr>
              <w:jc w:val="center"/>
              <w:rPr>
                <w:rFonts w:ascii="Arial" w:hAnsi="Arial" w:cs="Arial"/>
                <w:b/>
                <w:sz w:val="18"/>
                <w:szCs w:val="18"/>
              </w:rPr>
            </w:pPr>
            <w:r w:rsidRPr="007554EE">
              <w:rPr>
                <w:rFonts w:ascii="Arial" w:hAnsi="Arial" w:cs="Arial"/>
                <w:b/>
                <w:sz w:val="18"/>
                <w:szCs w:val="18"/>
              </w:rPr>
              <w:t>Code FICHE</w:t>
            </w:r>
          </w:p>
          <w:p w:rsidR="00A90BD4" w:rsidRPr="007554EE" w:rsidRDefault="00A90BD4" w:rsidP="00611C6C">
            <w:pPr>
              <w:jc w:val="center"/>
              <w:rPr>
                <w:rFonts w:ascii="Arial" w:hAnsi="Arial" w:cs="Arial"/>
                <w:sz w:val="18"/>
                <w:szCs w:val="18"/>
              </w:rPr>
            </w:pPr>
            <w:r w:rsidRPr="007554EE">
              <w:rPr>
                <w:rFonts w:ascii="Arial" w:hAnsi="Arial" w:cs="Arial"/>
                <w:sz w:val="18"/>
                <w:szCs w:val="18"/>
              </w:rPr>
              <w:t>OBS-70-A</w:t>
            </w:r>
          </w:p>
        </w:tc>
        <w:tc>
          <w:tcPr>
            <w:tcW w:w="1708" w:type="dxa"/>
            <w:tcBorders>
              <w:left w:val="dashed" w:sz="4" w:space="0" w:color="auto"/>
              <w:bottom w:val="single" w:sz="4" w:space="0" w:color="auto"/>
              <w:right w:val="dashed" w:sz="4" w:space="0" w:color="auto"/>
            </w:tcBorders>
          </w:tcPr>
          <w:p w:rsidR="00A90BD4" w:rsidRPr="007554EE" w:rsidRDefault="00A90BD4" w:rsidP="00611C6C">
            <w:pPr>
              <w:jc w:val="center"/>
              <w:rPr>
                <w:rFonts w:ascii="Arial" w:hAnsi="Arial" w:cs="Arial"/>
                <w:b/>
                <w:sz w:val="18"/>
                <w:szCs w:val="18"/>
              </w:rPr>
            </w:pPr>
            <w:r w:rsidRPr="007554EE">
              <w:rPr>
                <w:rFonts w:ascii="Arial" w:hAnsi="Arial" w:cs="Arial"/>
                <w:b/>
                <w:sz w:val="18"/>
                <w:szCs w:val="18"/>
              </w:rPr>
              <w:t>Correspondance RIME</w:t>
            </w:r>
          </w:p>
          <w:p w:rsidR="00A90BD4" w:rsidRPr="007554EE" w:rsidRDefault="00A90BD4" w:rsidP="00611C6C">
            <w:pPr>
              <w:jc w:val="center"/>
              <w:rPr>
                <w:rFonts w:ascii="Arial" w:hAnsi="Arial" w:cs="Arial"/>
                <w:sz w:val="18"/>
                <w:szCs w:val="18"/>
              </w:rPr>
            </w:pPr>
            <w:r w:rsidRPr="007554EE">
              <w:rPr>
                <w:rFonts w:ascii="Arial" w:hAnsi="Arial" w:cs="Arial"/>
                <w:sz w:val="18"/>
                <w:szCs w:val="18"/>
              </w:rPr>
              <w:t>FPECTL01</w:t>
            </w:r>
          </w:p>
          <w:p w:rsidR="00A90BD4" w:rsidRPr="007554EE" w:rsidRDefault="00A90BD4" w:rsidP="00611C6C">
            <w:pPr>
              <w:jc w:val="center"/>
              <w:rPr>
                <w:rFonts w:ascii="Arial" w:hAnsi="Arial" w:cs="Arial"/>
                <w:sz w:val="18"/>
                <w:szCs w:val="18"/>
              </w:rPr>
            </w:pPr>
            <w:r w:rsidRPr="007554EE">
              <w:rPr>
                <w:rFonts w:ascii="Arial" w:hAnsi="Arial" w:cs="Arial"/>
                <w:sz w:val="18"/>
                <w:szCs w:val="18"/>
              </w:rPr>
              <w:t>FPECTL02</w:t>
            </w:r>
          </w:p>
        </w:tc>
        <w:tc>
          <w:tcPr>
            <w:tcW w:w="1571" w:type="dxa"/>
            <w:tcBorders>
              <w:left w:val="dashed" w:sz="4" w:space="0" w:color="auto"/>
              <w:bottom w:val="single" w:sz="4" w:space="0" w:color="auto"/>
              <w:right w:val="single" w:sz="4" w:space="0" w:color="auto"/>
            </w:tcBorders>
          </w:tcPr>
          <w:p w:rsidR="00A90BD4" w:rsidRPr="007554EE" w:rsidRDefault="00A90BD4" w:rsidP="00611C6C">
            <w:pPr>
              <w:jc w:val="center"/>
              <w:rPr>
                <w:rFonts w:ascii="Arial" w:hAnsi="Arial" w:cs="Arial"/>
                <w:b/>
                <w:sz w:val="18"/>
                <w:szCs w:val="18"/>
              </w:rPr>
            </w:pPr>
            <w:r w:rsidRPr="007554EE">
              <w:rPr>
                <w:rFonts w:ascii="Arial" w:hAnsi="Arial" w:cs="Arial"/>
                <w:b/>
                <w:sz w:val="18"/>
                <w:szCs w:val="18"/>
              </w:rPr>
              <w:t>Correspondance UCANSS</w:t>
            </w:r>
          </w:p>
          <w:p w:rsidR="00A90BD4" w:rsidRPr="007554EE" w:rsidRDefault="00A90BD4" w:rsidP="00611C6C">
            <w:pPr>
              <w:jc w:val="center"/>
              <w:rPr>
                <w:rFonts w:ascii="Arial" w:hAnsi="Arial" w:cs="Arial"/>
                <w:sz w:val="18"/>
                <w:szCs w:val="18"/>
              </w:rPr>
            </w:pPr>
            <w:r w:rsidRPr="007554EE">
              <w:rPr>
                <w:rFonts w:ascii="Arial" w:hAnsi="Arial" w:cs="Arial"/>
                <w:sz w:val="18"/>
                <w:szCs w:val="18"/>
              </w:rPr>
              <w:t>0901</w:t>
            </w:r>
          </w:p>
          <w:p w:rsidR="00A90BD4" w:rsidRPr="007554EE" w:rsidRDefault="00A90BD4" w:rsidP="00611C6C">
            <w:pPr>
              <w:jc w:val="center"/>
              <w:rPr>
                <w:rFonts w:ascii="Arial" w:hAnsi="Arial" w:cs="Arial"/>
                <w:sz w:val="18"/>
                <w:szCs w:val="18"/>
              </w:rPr>
            </w:pPr>
            <w:r w:rsidRPr="007554EE">
              <w:rPr>
                <w:rFonts w:ascii="Arial" w:hAnsi="Arial" w:cs="Arial"/>
                <w:sz w:val="18"/>
                <w:szCs w:val="18"/>
              </w:rPr>
              <w:t>1701</w:t>
            </w:r>
          </w:p>
        </w:tc>
      </w:tr>
    </w:tbl>
    <w:p w:rsidR="00A90BD4" w:rsidRPr="007554EE" w:rsidRDefault="00A90BD4" w:rsidP="00A90BD4">
      <w:pPr>
        <w:rPr>
          <w:rFonts w:ascii="Arial" w:hAnsi="Arial" w:cs="Arial"/>
        </w:rPr>
      </w:pPr>
      <w:bookmarkStart w:id="0" w:name="_GoBack"/>
      <w:r w:rsidRPr="007554EE">
        <w:rPr>
          <w:rFonts w:ascii="Arial" w:hAnsi="Arial" w:cs="Arial"/>
        </w:rPr>
        <w:t xml:space="preserve">   </w:t>
      </w: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60"/>
      </w:tblGrid>
      <w:tr w:rsidR="00A90BD4" w:rsidRPr="007554EE" w:rsidTr="00611C6C">
        <w:trPr>
          <w:trHeight w:val="302"/>
        </w:trPr>
        <w:tc>
          <w:tcPr>
            <w:tcW w:w="10260" w:type="dxa"/>
            <w:tcBorders>
              <w:bottom w:val="single" w:sz="4" w:space="0" w:color="auto"/>
            </w:tcBorders>
            <w:shd w:val="clear" w:color="auto" w:fill="D9D9D9"/>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6"/>
              <w:gridCol w:w="2526"/>
              <w:gridCol w:w="2526"/>
              <w:gridCol w:w="2527"/>
            </w:tblGrid>
            <w:tr w:rsidR="00A90BD4" w:rsidRPr="007554EE" w:rsidTr="00611C6C">
              <w:tc>
                <w:tcPr>
                  <w:tcW w:w="2526" w:type="dxa"/>
                  <w:tcBorders>
                    <w:top w:val="single" w:sz="4" w:space="0" w:color="auto"/>
                    <w:left w:val="single" w:sz="4" w:space="0" w:color="auto"/>
                    <w:bottom w:val="single" w:sz="4" w:space="0" w:color="auto"/>
                    <w:right w:val="single" w:sz="4" w:space="0" w:color="auto"/>
                  </w:tcBorders>
                  <w:shd w:val="clear" w:color="auto" w:fill="548DD4"/>
                </w:tcPr>
                <w:bookmarkEnd w:id="0"/>
                <w:p w:rsidR="00A90BD4" w:rsidRPr="007554EE" w:rsidRDefault="00A90BD4" w:rsidP="00611C6C">
                  <w:pPr>
                    <w:spacing w:before="120"/>
                    <w:jc w:val="center"/>
                    <w:rPr>
                      <w:rFonts w:ascii="Arial" w:hAnsi="Arial" w:cs="Arial"/>
                      <w:b/>
                      <w:bCs/>
                      <w:color w:val="FFFFFF"/>
                      <w:sz w:val="28"/>
                      <w:szCs w:val="28"/>
                    </w:rPr>
                  </w:pPr>
                  <w:r w:rsidRPr="007554EE">
                    <w:rPr>
                      <w:rFonts w:ascii="Arial" w:hAnsi="Arial" w:cs="Arial"/>
                      <w:b/>
                      <w:bCs/>
                      <w:color w:val="FFFFFF"/>
                      <w:sz w:val="28"/>
                      <w:szCs w:val="28"/>
                    </w:rPr>
                    <w:t>AC</w:t>
                  </w:r>
                </w:p>
              </w:tc>
              <w:tc>
                <w:tcPr>
                  <w:tcW w:w="2526" w:type="dxa"/>
                  <w:tcBorders>
                    <w:top w:val="single" w:sz="4" w:space="0" w:color="auto"/>
                    <w:left w:val="single" w:sz="4" w:space="0" w:color="auto"/>
                    <w:bottom w:val="single" w:sz="4" w:space="0" w:color="auto"/>
                    <w:right w:val="single" w:sz="4" w:space="0" w:color="auto"/>
                  </w:tcBorders>
                  <w:shd w:val="clear" w:color="auto" w:fill="548DD4"/>
                </w:tcPr>
                <w:p w:rsidR="00A90BD4" w:rsidRPr="007554EE" w:rsidRDefault="00A90BD4" w:rsidP="00611C6C">
                  <w:pPr>
                    <w:spacing w:before="120"/>
                    <w:jc w:val="center"/>
                    <w:rPr>
                      <w:rFonts w:ascii="Arial" w:hAnsi="Arial" w:cs="Arial"/>
                      <w:b/>
                      <w:bCs/>
                      <w:color w:val="FFFFFF"/>
                      <w:sz w:val="28"/>
                      <w:szCs w:val="28"/>
                    </w:rPr>
                  </w:pPr>
                  <w:r w:rsidRPr="007554EE">
                    <w:rPr>
                      <w:rFonts w:ascii="Arial" w:hAnsi="Arial" w:cs="Arial"/>
                      <w:b/>
                      <w:bCs/>
                      <w:color w:val="FFFFFF"/>
                      <w:sz w:val="28"/>
                      <w:szCs w:val="28"/>
                    </w:rPr>
                    <w:t>ST / SD</w:t>
                  </w:r>
                </w:p>
              </w:tc>
              <w:tc>
                <w:tcPr>
                  <w:tcW w:w="2526" w:type="dxa"/>
                  <w:tcBorders>
                    <w:top w:val="single" w:sz="4" w:space="0" w:color="auto"/>
                    <w:left w:val="single" w:sz="4" w:space="0" w:color="auto"/>
                    <w:bottom w:val="single" w:sz="4" w:space="0" w:color="auto"/>
                    <w:right w:val="single" w:sz="4" w:space="0" w:color="auto"/>
                  </w:tcBorders>
                  <w:shd w:val="clear" w:color="auto" w:fill="548DD4"/>
                </w:tcPr>
                <w:p w:rsidR="00A90BD4" w:rsidRPr="007554EE" w:rsidRDefault="00A90BD4" w:rsidP="00611C6C">
                  <w:pPr>
                    <w:spacing w:before="120"/>
                    <w:jc w:val="center"/>
                    <w:rPr>
                      <w:rFonts w:ascii="Arial" w:hAnsi="Arial" w:cs="Arial"/>
                      <w:b/>
                      <w:bCs/>
                      <w:color w:val="FFFFFF"/>
                      <w:sz w:val="28"/>
                      <w:szCs w:val="28"/>
                    </w:rPr>
                  </w:pPr>
                  <w:r w:rsidRPr="007554EE">
                    <w:rPr>
                      <w:rFonts w:ascii="Arial" w:hAnsi="Arial" w:cs="Arial"/>
                      <w:b/>
                      <w:bCs/>
                      <w:color w:val="FFFFFF"/>
                      <w:sz w:val="28"/>
                      <w:szCs w:val="28"/>
                    </w:rPr>
                    <w:t>EP</w:t>
                  </w:r>
                </w:p>
              </w:tc>
              <w:tc>
                <w:tcPr>
                  <w:tcW w:w="2527" w:type="dxa"/>
                  <w:tcBorders>
                    <w:top w:val="single" w:sz="4" w:space="0" w:color="auto"/>
                    <w:left w:val="single" w:sz="4" w:space="0" w:color="auto"/>
                    <w:bottom w:val="single" w:sz="4" w:space="0" w:color="auto"/>
                    <w:right w:val="single" w:sz="4" w:space="0" w:color="auto"/>
                  </w:tcBorders>
                  <w:shd w:val="clear" w:color="auto" w:fill="548DD4"/>
                </w:tcPr>
                <w:p w:rsidR="00A90BD4" w:rsidRPr="007554EE" w:rsidRDefault="00A90BD4" w:rsidP="00611C6C">
                  <w:pPr>
                    <w:spacing w:before="120"/>
                    <w:jc w:val="center"/>
                    <w:rPr>
                      <w:rFonts w:ascii="Arial" w:hAnsi="Arial" w:cs="Arial"/>
                      <w:b/>
                      <w:bCs/>
                      <w:color w:val="FFFFFF"/>
                      <w:sz w:val="28"/>
                      <w:szCs w:val="28"/>
                    </w:rPr>
                  </w:pPr>
                  <w:r w:rsidRPr="007554EE">
                    <w:rPr>
                      <w:rFonts w:ascii="Arial" w:hAnsi="Arial" w:cs="Arial"/>
                      <w:b/>
                      <w:bCs/>
                      <w:color w:val="FFFFFF"/>
                      <w:sz w:val="28"/>
                      <w:szCs w:val="28"/>
                    </w:rPr>
                    <w:t>Autres</w:t>
                  </w:r>
                </w:p>
              </w:tc>
            </w:tr>
          </w:tbl>
          <w:p w:rsidR="00A90BD4" w:rsidRPr="007554EE" w:rsidRDefault="00A90BD4" w:rsidP="00611C6C">
            <w:pPr>
              <w:spacing w:before="120"/>
              <w:jc w:val="center"/>
              <w:rPr>
                <w:rFonts w:ascii="Arial" w:hAnsi="Arial" w:cs="Arial"/>
                <w:b/>
                <w:bCs/>
                <w:sz w:val="28"/>
                <w:szCs w:val="28"/>
              </w:rPr>
            </w:pPr>
          </w:p>
        </w:tc>
      </w:tr>
      <w:tr w:rsidR="00A90BD4" w:rsidRPr="007554EE" w:rsidTr="00611C6C">
        <w:trPr>
          <w:trHeight w:val="302"/>
        </w:trPr>
        <w:tc>
          <w:tcPr>
            <w:tcW w:w="10260" w:type="dxa"/>
            <w:shd w:val="clear" w:color="auto" w:fill="FFF272"/>
          </w:tcPr>
          <w:p w:rsidR="00A90BD4" w:rsidRPr="007554EE" w:rsidRDefault="00A90BD4" w:rsidP="00611C6C">
            <w:pPr>
              <w:spacing w:before="120"/>
              <w:jc w:val="center"/>
              <w:rPr>
                <w:rFonts w:ascii="Arial" w:hAnsi="Arial" w:cs="Arial"/>
                <w:b/>
                <w:bCs/>
                <w:sz w:val="28"/>
                <w:szCs w:val="28"/>
              </w:rPr>
            </w:pPr>
            <w:r w:rsidRPr="007554EE">
              <w:rPr>
                <w:rFonts w:ascii="Arial" w:hAnsi="Arial" w:cs="Arial"/>
                <w:b/>
                <w:bCs/>
                <w:sz w:val="28"/>
                <w:szCs w:val="28"/>
              </w:rPr>
              <w:t>Définition</w:t>
            </w:r>
          </w:p>
        </w:tc>
      </w:tr>
      <w:tr w:rsidR="00A90BD4" w:rsidRPr="007554EE" w:rsidTr="00611C6C">
        <w:trPr>
          <w:trHeight w:val="923"/>
        </w:trPr>
        <w:tc>
          <w:tcPr>
            <w:tcW w:w="10260" w:type="dxa"/>
            <w:tcBorders>
              <w:left w:val="dashed" w:sz="4" w:space="0" w:color="auto"/>
              <w:bottom w:val="dashed" w:sz="4" w:space="0" w:color="auto"/>
              <w:right w:val="dashed" w:sz="4" w:space="0" w:color="auto"/>
            </w:tcBorders>
            <w:vAlign w:val="center"/>
          </w:tcPr>
          <w:p w:rsidR="00A90BD4" w:rsidRPr="007554EE" w:rsidRDefault="00A90BD4" w:rsidP="00611C6C">
            <w:pPr>
              <w:jc w:val="both"/>
              <w:rPr>
                <w:rFonts w:ascii="Arial" w:hAnsi="Arial" w:cs="Arial"/>
              </w:rPr>
            </w:pPr>
            <w:r w:rsidRPr="007554EE">
              <w:rPr>
                <w:rFonts w:ascii="Arial" w:hAnsi="Arial" w:cs="Arial"/>
                <w:sz w:val="22"/>
              </w:rPr>
              <w:t>Propose, élabore et met en œuvre un programme d’inspection, de contrôle, d’audit et d’évaluation à partir des priorités définies au niveau national et tenant compte du contexte territorial.</w:t>
            </w:r>
          </w:p>
        </w:tc>
      </w:tr>
    </w:tbl>
    <w:p w:rsidR="00A90BD4" w:rsidRPr="007554EE" w:rsidRDefault="00A90BD4" w:rsidP="00A90BD4">
      <w:pPr>
        <w:rPr>
          <w:rFonts w:ascii="Arial" w:hAnsi="Arial" w:cs="Arial"/>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60"/>
      </w:tblGrid>
      <w:tr w:rsidR="00A90BD4" w:rsidRPr="007554EE" w:rsidTr="00611C6C">
        <w:trPr>
          <w:trHeight w:val="362"/>
        </w:trPr>
        <w:tc>
          <w:tcPr>
            <w:tcW w:w="10260" w:type="dxa"/>
            <w:shd w:val="clear" w:color="auto" w:fill="FFF272"/>
          </w:tcPr>
          <w:p w:rsidR="00A90BD4" w:rsidRPr="007554EE" w:rsidRDefault="00A90BD4" w:rsidP="00611C6C">
            <w:pPr>
              <w:spacing w:before="120"/>
              <w:jc w:val="center"/>
              <w:rPr>
                <w:rFonts w:ascii="Arial" w:hAnsi="Arial" w:cs="Arial"/>
                <w:b/>
                <w:bCs/>
                <w:sz w:val="28"/>
                <w:szCs w:val="28"/>
              </w:rPr>
            </w:pPr>
            <w:r w:rsidRPr="007554EE">
              <w:rPr>
                <w:rFonts w:ascii="Arial" w:hAnsi="Arial" w:cs="Arial"/>
                <w:b/>
                <w:bCs/>
                <w:sz w:val="28"/>
                <w:szCs w:val="28"/>
              </w:rPr>
              <w:t>Activités essentielles</w:t>
            </w:r>
          </w:p>
        </w:tc>
      </w:tr>
      <w:tr w:rsidR="00A90BD4" w:rsidRPr="007554EE" w:rsidTr="00611C6C">
        <w:trPr>
          <w:trHeight w:val="1940"/>
        </w:trPr>
        <w:tc>
          <w:tcPr>
            <w:tcW w:w="10260" w:type="dxa"/>
            <w:tcBorders>
              <w:left w:val="dashed" w:sz="4" w:space="0" w:color="auto"/>
              <w:bottom w:val="dashed" w:sz="4" w:space="0" w:color="auto"/>
              <w:right w:val="dashed" w:sz="4" w:space="0" w:color="auto"/>
            </w:tcBorders>
            <w:vAlign w:val="center"/>
          </w:tcPr>
          <w:p w:rsidR="00A90BD4" w:rsidRPr="007554EE" w:rsidRDefault="00A90BD4" w:rsidP="00A90BD4">
            <w:pPr>
              <w:numPr>
                <w:ilvl w:val="0"/>
                <w:numId w:val="2"/>
              </w:numPr>
              <w:tabs>
                <w:tab w:val="num" w:pos="290"/>
              </w:tabs>
              <w:ind w:left="329" w:hanging="284"/>
              <w:rPr>
                <w:rFonts w:ascii="Arial" w:hAnsi="Arial" w:cs="Arial"/>
                <w:bCs/>
                <w:sz w:val="22"/>
              </w:rPr>
            </w:pPr>
            <w:r w:rsidRPr="007554EE">
              <w:rPr>
                <w:rFonts w:ascii="Arial" w:hAnsi="Arial" w:cs="Arial"/>
                <w:bCs/>
                <w:sz w:val="22"/>
              </w:rPr>
              <w:t>Collecte des données issues de l’observation ou de la veille</w:t>
            </w:r>
          </w:p>
          <w:p w:rsidR="00A90BD4" w:rsidRPr="007554EE" w:rsidRDefault="00A90BD4" w:rsidP="00A90BD4">
            <w:pPr>
              <w:numPr>
                <w:ilvl w:val="0"/>
                <w:numId w:val="2"/>
              </w:numPr>
              <w:tabs>
                <w:tab w:val="num" w:pos="290"/>
              </w:tabs>
              <w:ind w:left="328" w:hanging="284"/>
              <w:rPr>
                <w:rFonts w:ascii="Arial" w:hAnsi="Arial" w:cs="Arial"/>
                <w:bCs/>
                <w:sz w:val="22"/>
              </w:rPr>
            </w:pPr>
            <w:r w:rsidRPr="007554EE">
              <w:rPr>
                <w:rFonts w:ascii="Arial" w:hAnsi="Arial" w:cs="Arial"/>
                <w:bCs/>
                <w:sz w:val="22"/>
              </w:rPr>
              <w:t>Prise en compte des politiques publiques et de la réglementation</w:t>
            </w:r>
          </w:p>
          <w:p w:rsidR="00A90BD4" w:rsidRPr="007554EE" w:rsidRDefault="00A90BD4" w:rsidP="00A90BD4">
            <w:pPr>
              <w:numPr>
                <w:ilvl w:val="0"/>
                <w:numId w:val="2"/>
              </w:numPr>
              <w:tabs>
                <w:tab w:val="num" w:pos="290"/>
              </w:tabs>
              <w:ind w:left="328" w:hanging="284"/>
              <w:rPr>
                <w:rFonts w:ascii="Arial" w:hAnsi="Arial" w:cs="Arial"/>
                <w:bCs/>
                <w:sz w:val="22"/>
              </w:rPr>
            </w:pPr>
            <w:r w:rsidRPr="007554EE">
              <w:rPr>
                <w:rFonts w:ascii="Arial" w:hAnsi="Arial" w:cs="Arial"/>
                <w:bCs/>
                <w:sz w:val="22"/>
              </w:rPr>
              <w:t>Conception des objectifs, du plan d’actions et du calendrier annuel ou pluriannuel</w:t>
            </w:r>
          </w:p>
          <w:p w:rsidR="00A90BD4" w:rsidRPr="007554EE" w:rsidRDefault="00A90BD4" w:rsidP="00A90BD4">
            <w:pPr>
              <w:numPr>
                <w:ilvl w:val="0"/>
                <w:numId w:val="2"/>
              </w:numPr>
              <w:tabs>
                <w:tab w:val="num" w:pos="290"/>
              </w:tabs>
              <w:ind w:left="328" w:hanging="284"/>
              <w:rPr>
                <w:rFonts w:ascii="Arial" w:hAnsi="Arial" w:cs="Arial"/>
                <w:bCs/>
                <w:sz w:val="22"/>
              </w:rPr>
            </w:pPr>
            <w:r w:rsidRPr="007554EE">
              <w:rPr>
                <w:rFonts w:ascii="Arial" w:hAnsi="Arial" w:cs="Arial"/>
                <w:bCs/>
                <w:sz w:val="22"/>
              </w:rPr>
              <w:t>Identification des ressources nécessaires au regard des objectifs</w:t>
            </w:r>
          </w:p>
          <w:p w:rsidR="00A90BD4" w:rsidRPr="007554EE" w:rsidRDefault="00A90BD4" w:rsidP="00A90BD4">
            <w:pPr>
              <w:numPr>
                <w:ilvl w:val="0"/>
                <w:numId w:val="2"/>
              </w:numPr>
              <w:tabs>
                <w:tab w:val="num" w:pos="290"/>
              </w:tabs>
              <w:ind w:left="328" w:hanging="284"/>
              <w:rPr>
                <w:rFonts w:ascii="Arial" w:hAnsi="Arial" w:cs="Arial"/>
                <w:bCs/>
                <w:sz w:val="22"/>
              </w:rPr>
            </w:pPr>
            <w:r w:rsidRPr="007554EE">
              <w:rPr>
                <w:rFonts w:ascii="Arial" w:hAnsi="Arial" w:cs="Arial"/>
                <w:bCs/>
                <w:sz w:val="22"/>
              </w:rPr>
              <w:t>Mobilisation des ressources autour d’un réseau d’échange de bonnes pratiques</w:t>
            </w:r>
          </w:p>
          <w:p w:rsidR="00A90BD4" w:rsidRPr="007554EE" w:rsidRDefault="00A90BD4" w:rsidP="00A90BD4">
            <w:pPr>
              <w:numPr>
                <w:ilvl w:val="0"/>
                <w:numId w:val="2"/>
              </w:numPr>
              <w:tabs>
                <w:tab w:val="num" w:pos="290"/>
              </w:tabs>
              <w:ind w:left="328" w:hanging="284"/>
              <w:rPr>
                <w:rFonts w:ascii="Arial" w:hAnsi="Arial" w:cs="Arial"/>
                <w:bCs/>
                <w:sz w:val="22"/>
              </w:rPr>
            </w:pPr>
            <w:r w:rsidRPr="007554EE">
              <w:rPr>
                <w:rFonts w:ascii="Arial" w:hAnsi="Arial" w:cs="Arial"/>
                <w:bCs/>
                <w:sz w:val="22"/>
              </w:rPr>
              <w:t>Suivi de la mise en œuvre</w:t>
            </w:r>
          </w:p>
          <w:p w:rsidR="00A90BD4" w:rsidRPr="007554EE" w:rsidRDefault="00A90BD4" w:rsidP="00A90BD4">
            <w:pPr>
              <w:numPr>
                <w:ilvl w:val="0"/>
                <w:numId w:val="2"/>
              </w:numPr>
              <w:tabs>
                <w:tab w:val="num" w:pos="290"/>
              </w:tabs>
              <w:ind w:left="328" w:hanging="284"/>
              <w:rPr>
                <w:rFonts w:ascii="Arial" w:hAnsi="Arial" w:cs="Arial"/>
                <w:bCs/>
                <w:sz w:val="22"/>
              </w:rPr>
            </w:pPr>
            <w:r w:rsidRPr="007554EE">
              <w:rPr>
                <w:rFonts w:ascii="Arial" w:hAnsi="Arial" w:cs="Arial"/>
                <w:bCs/>
                <w:sz w:val="22"/>
              </w:rPr>
              <w:t>Ajustement du programme si besoin</w:t>
            </w:r>
          </w:p>
          <w:p w:rsidR="00A90BD4" w:rsidRPr="007554EE" w:rsidRDefault="00A90BD4" w:rsidP="00A90BD4">
            <w:pPr>
              <w:numPr>
                <w:ilvl w:val="0"/>
                <w:numId w:val="2"/>
              </w:numPr>
              <w:tabs>
                <w:tab w:val="num" w:pos="290"/>
              </w:tabs>
              <w:ind w:left="328" w:hanging="284"/>
              <w:rPr>
                <w:rFonts w:ascii="Arial" w:hAnsi="Arial" w:cs="Arial"/>
                <w:bCs/>
                <w:sz w:val="22"/>
              </w:rPr>
            </w:pPr>
            <w:r w:rsidRPr="007554EE">
              <w:rPr>
                <w:rFonts w:ascii="Arial" w:hAnsi="Arial" w:cs="Arial"/>
                <w:bCs/>
                <w:sz w:val="22"/>
                <w:szCs w:val="22"/>
              </w:rPr>
              <w:t>Conception, organisation, pilotage et évaluation de programmes d’inspection et de</w:t>
            </w:r>
            <w:r w:rsidRPr="007554EE">
              <w:rPr>
                <w:rFonts w:ascii="Arial" w:hAnsi="Arial" w:cs="Arial"/>
                <w:bCs/>
                <w:sz w:val="22"/>
              </w:rPr>
              <w:t xml:space="preserve"> </w:t>
            </w:r>
            <w:r w:rsidRPr="007554EE">
              <w:rPr>
                <w:rFonts w:ascii="Arial" w:hAnsi="Arial" w:cs="Arial"/>
                <w:bCs/>
                <w:sz w:val="22"/>
                <w:szCs w:val="22"/>
              </w:rPr>
              <w:t>contrôle des établissements publics et services dans le champ sanitaire, social et médico-social</w:t>
            </w:r>
          </w:p>
          <w:p w:rsidR="00A90BD4" w:rsidRPr="007554EE" w:rsidRDefault="00A90BD4" w:rsidP="00A90BD4">
            <w:pPr>
              <w:numPr>
                <w:ilvl w:val="0"/>
                <w:numId w:val="2"/>
              </w:numPr>
              <w:tabs>
                <w:tab w:val="num" w:pos="290"/>
              </w:tabs>
              <w:ind w:left="328" w:hanging="284"/>
              <w:rPr>
                <w:rFonts w:ascii="Arial" w:hAnsi="Arial" w:cs="Arial"/>
                <w:bCs/>
                <w:sz w:val="22"/>
              </w:rPr>
            </w:pPr>
            <w:r w:rsidRPr="007554EE">
              <w:rPr>
                <w:rFonts w:ascii="Arial" w:hAnsi="Arial" w:cs="Arial"/>
                <w:bCs/>
                <w:sz w:val="22"/>
                <w:szCs w:val="22"/>
              </w:rPr>
              <w:t>Mobilisation d’équipes et de compétences pluridisciplinaires</w:t>
            </w:r>
          </w:p>
          <w:p w:rsidR="00A90BD4" w:rsidRPr="007554EE" w:rsidRDefault="00A90BD4" w:rsidP="00A90BD4">
            <w:pPr>
              <w:numPr>
                <w:ilvl w:val="0"/>
                <w:numId w:val="2"/>
              </w:numPr>
              <w:tabs>
                <w:tab w:val="num" w:pos="290"/>
              </w:tabs>
              <w:ind w:left="328" w:hanging="284"/>
              <w:rPr>
                <w:rFonts w:ascii="Arial" w:hAnsi="Arial" w:cs="Arial"/>
                <w:bCs/>
                <w:sz w:val="22"/>
              </w:rPr>
            </w:pPr>
            <w:r w:rsidRPr="007554EE">
              <w:rPr>
                <w:rFonts w:ascii="Arial" w:hAnsi="Arial" w:cs="Arial"/>
                <w:bCs/>
                <w:sz w:val="22"/>
                <w:szCs w:val="22"/>
              </w:rPr>
              <w:t>Appui méthodologique en direction des équipes d’inspection</w:t>
            </w:r>
          </w:p>
          <w:p w:rsidR="00A90BD4" w:rsidRPr="007554EE" w:rsidRDefault="00A90BD4" w:rsidP="00611C6C">
            <w:pPr>
              <w:rPr>
                <w:rFonts w:ascii="Arial" w:hAnsi="Arial" w:cs="Arial"/>
                <w:bCs/>
                <w:sz w:val="22"/>
              </w:rPr>
            </w:pPr>
          </w:p>
        </w:tc>
      </w:tr>
    </w:tbl>
    <w:p w:rsidR="00A90BD4" w:rsidRPr="007554EE" w:rsidRDefault="00A90BD4" w:rsidP="00A90BD4">
      <w:pPr>
        <w:rPr>
          <w:rFonts w:ascii="Arial" w:hAnsi="Arial" w:cs="Arial"/>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60"/>
      </w:tblGrid>
      <w:tr w:rsidR="00A90BD4" w:rsidRPr="007554EE" w:rsidTr="00611C6C">
        <w:trPr>
          <w:trHeight w:val="458"/>
        </w:trPr>
        <w:tc>
          <w:tcPr>
            <w:tcW w:w="10260" w:type="dxa"/>
            <w:shd w:val="clear" w:color="auto" w:fill="FFF272"/>
          </w:tcPr>
          <w:p w:rsidR="00A90BD4" w:rsidRPr="007554EE" w:rsidRDefault="00A90BD4" w:rsidP="00611C6C">
            <w:pPr>
              <w:spacing w:before="120"/>
              <w:jc w:val="center"/>
              <w:rPr>
                <w:rFonts w:ascii="Arial" w:hAnsi="Arial" w:cs="Arial"/>
                <w:b/>
                <w:bCs/>
                <w:sz w:val="28"/>
                <w:szCs w:val="28"/>
              </w:rPr>
            </w:pPr>
            <w:r w:rsidRPr="007554EE">
              <w:rPr>
                <w:rFonts w:ascii="Arial" w:hAnsi="Arial" w:cs="Arial"/>
                <w:b/>
                <w:bCs/>
                <w:sz w:val="28"/>
                <w:szCs w:val="28"/>
              </w:rPr>
              <w:t>Compétences</w:t>
            </w:r>
          </w:p>
        </w:tc>
      </w:tr>
      <w:tr w:rsidR="00A90BD4" w:rsidRPr="007554EE" w:rsidTr="00611C6C">
        <w:trPr>
          <w:trHeight w:val="1745"/>
        </w:trPr>
        <w:tc>
          <w:tcPr>
            <w:tcW w:w="10260" w:type="dxa"/>
            <w:tcBorders>
              <w:left w:val="dashed" w:sz="4" w:space="0" w:color="auto"/>
              <w:bottom w:val="dashed" w:sz="4" w:space="0" w:color="auto"/>
              <w:right w:val="dashed" w:sz="4" w:space="0" w:color="auto"/>
            </w:tcBorders>
            <w:vAlign w:val="center"/>
          </w:tcPr>
          <w:p w:rsidR="00A90BD4" w:rsidRPr="007554EE" w:rsidRDefault="00A90BD4" w:rsidP="00611C6C">
            <w:pPr>
              <w:jc w:val="both"/>
              <w:rPr>
                <w:rFonts w:ascii="Arial" w:hAnsi="Arial" w:cs="Arial"/>
                <w:b/>
                <w:bCs/>
              </w:rPr>
            </w:pPr>
            <w:r w:rsidRPr="007554EE">
              <w:rPr>
                <w:rFonts w:ascii="Arial" w:hAnsi="Arial" w:cs="Arial"/>
                <w:b/>
                <w:bCs/>
                <w:sz w:val="22"/>
              </w:rPr>
              <w:t>Connaissances</w:t>
            </w:r>
          </w:p>
          <w:p w:rsidR="00A90BD4" w:rsidRPr="007554EE" w:rsidRDefault="00A90BD4" w:rsidP="00611C6C">
            <w:pPr>
              <w:ind w:left="110"/>
              <w:jc w:val="both"/>
              <w:rPr>
                <w:rFonts w:ascii="Arial" w:hAnsi="Arial" w:cs="Arial"/>
                <w:b/>
                <w:bCs/>
                <w:sz w:val="16"/>
                <w:szCs w:val="16"/>
              </w:rPr>
            </w:pPr>
          </w:p>
          <w:p w:rsidR="00A90BD4" w:rsidRPr="007554EE" w:rsidRDefault="00A90BD4" w:rsidP="00A90BD4">
            <w:pPr>
              <w:numPr>
                <w:ilvl w:val="0"/>
                <w:numId w:val="2"/>
              </w:numPr>
              <w:tabs>
                <w:tab w:val="num" w:pos="290"/>
              </w:tabs>
              <w:ind w:left="328" w:hanging="284"/>
              <w:jc w:val="both"/>
              <w:rPr>
                <w:rFonts w:ascii="Arial" w:hAnsi="Arial" w:cs="Arial"/>
                <w:bCs/>
                <w:sz w:val="22"/>
              </w:rPr>
            </w:pPr>
            <w:r w:rsidRPr="007554EE">
              <w:rPr>
                <w:rFonts w:ascii="Arial" w:hAnsi="Arial" w:cs="Arial"/>
                <w:bCs/>
                <w:sz w:val="22"/>
              </w:rPr>
              <w:t xml:space="preserve"> Environnement institutionnel et administratif : organisation, fonctionnement et missions des services dans le champ concerné</w:t>
            </w:r>
          </w:p>
          <w:p w:rsidR="00A90BD4" w:rsidRDefault="00A90BD4" w:rsidP="00A90BD4">
            <w:pPr>
              <w:numPr>
                <w:ilvl w:val="0"/>
                <w:numId w:val="2"/>
              </w:numPr>
              <w:tabs>
                <w:tab w:val="num" w:pos="290"/>
              </w:tabs>
              <w:ind w:left="328" w:hanging="284"/>
              <w:jc w:val="both"/>
              <w:rPr>
                <w:rFonts w:ascii="Arial" w:hAnsi="Arial" w:cs="Arial"/>
                <w:bCs/>
                <w:sz w:val="22"/>
              </w:rPr>
            </w:pPr>
            <w:r w:rsidRPr="007554EE">
              <w:rPr>
                <w:rFonts w:ascii="Arial" w:hAnsi="Arial" w:cs="Arial"/>
                <w:bCs/>
                <w:sz w:val="22"/>
              </w:rPr>
              <w:t xml:space="preserve"> Processus et environnement « métiers »</w:t>
            </w:r>
          </w:p>
          <w:p w:rsidR="00A90BD4" w:rsidRPr="00ED373B" w:rsidRDefault="00A90BD4" w:rsidP="00A90BD4">
            <w:pPr>
              <w:numPr>
                <w:ilvl w:val="0"/>
                <w:numId w:val="2"/>
              </w:numPr>
              <w:tabs>
                <w:tab w:val="num" w:pos="290"/>
              </w:tabs>
              <w:ind w:left="328" w:hanging="284"/>
              <w:jc w:val="both"/>
              <w:rPr>
                <w:rFonts w:ascii="Arial" w:hAnsi="Arial" w:cs="Arial"/>
                <w:bCs/>
                <w:sz w:val="22"/>
              </w:rPr>
            </w:pPr>
            <w:r w:rsidRPr="00ED373B">
              <w:rPr>
                <w:rFonts w:ascii="Arial" w:hAnsi="Arial" w:cs="Arial"/>
                <w:bCs/>
                <w:sz w:val="22"/>
              </w:rPr>
              <w:t>Règles d’allocation de ressources</w:t>
            </w:r>
          </w:p>
          <w:p w:rsidR="00A90BD4" w:rsidRPr="00ED373B" w:rsidRDefault="00A90BD4" w:rsidP="00A90BD4">
            <w:pPr>
              <w:numPr>
                <w:ilvl w:val="0"/>
                <w:numId w:val="2"/>
              </w:numPr>
              <w:tabs>
                <w:tab w:val="num" w:pos="290"/>
              </w:tabs>
              <w:ind w:left="328" w:hanging="284"/>
              <w:jc w:val="both"/>
              <w:rPr>
                <w:rFonts w:ascii="Arial" w:hAnsi="Arial" w:cs="Arial"/>
                <w:bCs/>
              </w:rPr>
            </w:pPr>
            <w:r w:rsidRPr="00ED373B">
              <w:rPr>
                <w:rFonts w:ascii="Arial" w:hAnsi="Arial" w:cs="Arial"/>
                <w:bCs/>
                <w:sz w:val="22"/>
              </w:rPr>
              <w:t>Principes et méthodes de l’audit</w:t>
            </w:r>
          </w:p>
          <w:p w:rsidR="00A90BD4" w:rsidRPr="00ED373B" w:rsidRDefault="00A90BD4" w:rsidP="00A90BD4">
            <w:pPr>
              <w:numPr>
                <w:ilvl w:val="0"/>
                <w:numId w:val="2"/>
              </w:numPr>
              <w:tabs>
                <w:tab w:val="num" w:pos="290"/>
              </w:tabs>
              <w:ind w:left="328" w:hanging="284"/>
              <w:jc w:val="both"/>
              <w:rPr>
                <w:rFonts w:ascii="Arial" w:hAnsi="Arial" w:cs="Arial"/>
                <w:bCs/>
              </w:rPr>
            </w:pPr>
            <w:r w:rsidRPr="00ED373B">
              <w:rPr>
                <w:rFonts w:ascii="Arial" w:hAnsi="Arial" w:cs="Arial"/>
                <w:bCs/>
                <w:sz w:val="22"/>
              </w:rPr>
              <w:t>Principes et méthodes de l’évaluation</w:t>
            </w:r>
          </w:p>
          <w:p w:rsidR="00A90BD4" w:rsidRPr="00C66A3B" w:rsidRDefault="00A90BD4" w:rsidP="00A90BD4">
            <w:pPr>
              <w:numPr>
                <w:ilvl w:val="0"/>
                <w:numId w:val="2"/>
              </w:numPr>
              <w:tabs>
                <w:tab w:val="num" w:pos="290"/>
              </w:tabs>
              <w:ind w:left="328" w:hanging="284"/>
              <w:jc w:val="both"/>
              <w:rPr>
                <w:rFonts w:ascii="Arial" w:hAnsi="Arial" w:cs="Arial"/>
                <w:bCs/>
                <w:strike/>
                <w:color w:val="FF0000"/>
              </w:rPr>
            </w:pPr>
            <w:r w:rsidRPr="00ED373B">
              <w:rPr>
                <w:rFonts w:ascii="Arial" w:hAnsi="Arial" w:cs="Arial"/>
                <w:bCs/>
                <w:sz w:val="22"/>
              </w:rPr>
              <w:t>Principes et méthodes de l’inspection et/ ou contrôle</w:t>
            </w:r>
          </w:p>
        </w:tc>
      </w:tr>
      <w:tr w:rsidR="00A90BD4" w:rsidRPr="007554EE" w:rsidTr="00611C6C">
        <w:trPr>
          <w:trHeight w:val="3456"/>
        </w:trPr>
        <w:tc>
          <w:tcPr>
            <w:tcW w:w="10260" w:type="dxa"/>
            <w:tcBorders>
              <w:top w:val="dashed" w:sz="4" w:space="0" w:color="auto"/>
              <w:left w:val="dashed" w:sz="4" w:space="0" w:color="auto"/>
              <w:bottom w:val="dashed" w:sz="4" w:space="0" w:color="auto"/>
              <w:right w:val="dashed" w:sz="4" w:space="0" w:color="auto"/>
            </w:tcBorders>
            <w:vAlign w:val="center"/>
          </w:tcPr>
          <w:p w:rsidR="00A90BD4" w:rsidRPr="007554EE" w:rsidRDefault="00A90BD4" w:rsidP="00611C6C">
            <w:pPr>
              <w:rPr>
                <w:rFonts w:ascii="Arial" w:hAnsi="Arial" w:cs="Arial"/>
                <w:b/>
                <w:bCs/>
              </w:rPr>
            </w:pPr>
            <w:r w:rsidRPr="007554EE">
              <w:rPr>
                <w:rFonts w:ascii="Arial" w:hAnsi="Arial" w:cs="Arial"/>
                <w:b/>
                <w:bCs/>
                <w:sz w:val="22"/>
              </w:rPr>
              <w:t>Savoir-faire suivant le niveau d’expertise requis (1, 2, 3 ou 4)</w:t>
            </w:r>
          </w:p>
          <w:p w:rsidR="00A90BD4" w:rsidRPr="007554EE" w:rsidRDefault="00A90BD4" w:rsidP="00611C6C">
            <w:pPr>
              <w:rPr>
                <w:rFonts w:ascii="Arial" w:hAnsi="Arial" w:cs="Arial"/>
                <w:b/>
                <w:bCs/>
                <w:sz w:val="16"/>
                <w:szCs w:val="16"/>
              </w:rPr>
            </w:pPr>
          </w:p>
          <w:p w:rsidR="00A90BD4" w:rsidRPr="007554EE" w:rsidRDefault="00A90BD4" w:rsidP="00A90BD4">
            <w:pPr>
              <w:numPr>
                <w:ilvl w:val="0"/>
                <w:numId w:val="2"/>
              </w:numPr>
              <w:tabs>
                <w:tab w:val="num" w:pos="290"/>
              </w:tabs>
              <w:ind w:left="328" w:hanging="284"/>
              <w:rPr>
                <w:rFonts w:ascii="Arial" w:hAnsi="Arial" w:cs="Arial"/>
                <w:bCs/>
                <w:sz w:val="22"/>
              </w:rPr>
            </w:pPr>
            <w:r w:rsidRPr="007554EE">
              <w:rPr>
                <w:rFonts w:ascii="Arial" w:hAnsi="Arial" w:cs="Arial"/>
                <w:bCs/>
                <w:sz w:val="22"/>
              </w:rPr>
              <w:t>Animer une équipe (3)</w:t>
            </w:r>
          </w:p>
          <w:p w:rsidR="00A90BD4" w:rsidRPr="007554EE" w:rsidRDefault="00A90BD4" w:rsidP="00A90BD4">
            <w:pPr>
              <w:numPr>
                <w:ilvl w:val="0"/>
                <w:numId w:val="2"/>
              </w:numPr>
              <w:tabs>
                <w:tab w:val="num" w:pos="290"/>
              </w:tabs>
              <w:ind w:left="328" w:hanging="284"/>
              <w:rPr>
                <w:rFonts w:ascii="Arial" w:hAnsi="Arial" w:cs="Arial"/>
                <w:bCs/>
                <w:sz w:val="22"/>
              </w:rPr>
            </w:pPr>
            <w:r w:rsidRPr="007554EE">
              <w:rPr>
                <w:rFonts w:ascii="Arial" w:hAnsi="Arial" w:cs="Arial"/>
                <w:bCs/>
                <w:sz w:val="22"/>
              </w:rPr>
              <w:t>Organiser une veille / un réseau de veille (2)</w:t>
            </w:r>
          </w:p>
          <w:p w:rsidR="00A90BD4" w:rsidRPr="007554EE" w:rsidRDefault="00A90BD4" w:rsidP="00A90BD4">
            <w:pPr>
              <w:numPr>
                <w:ilvl w:val="0"/>
                <w:numId w:val="2"/>
              </w:numPr>
              <w:tabs>
                <w:tab w:val="num" w:pos="290"/>
              </w:tabs>
              <w:ind w:left="328" w:hanging="284"/>
              <w:rPr>
                <w:rFonts w:ascii="Arial" w:hAnsi="Arial" w:cs="Arial"/>
                <w:bCs/>
                <w:sz w:val="22"/>
              </w:rPr>
            </w:pPr>
            <w:r w:rsidRPr="007554EE">
              <w:rPr>
                <w:rFonts w:ascii="Arial" w:hAnsi="Arial" w:cs="Arial"/>
                <w:bCs/>
                <w:sz w:val="22"/>
              </w:rPr>
              <w:t>Évaluer et hiérarchiser les besoins (3)</w:t>
            </w:r>
          </w:p>
          <w:p w:rsidR="00A90BD4" w:rsidRPr="007554EE" w:rsidRDefault="00A90BD4" w:rsidP="00A90BD4">
            <w:pPr>
              <w:numPr>
                <w:ilvl w:val="0"/>
                <w:numId w:val="2"/>
              </w:numPr>
              <w:tabs>
                <w:tab w:val="num" w:pos="290"/>
              </w:tabs>
              <w:ind w:left="328" w:hanging="284"/>
              <w:rPr>
                <w:rFonts w:ascii="Arial" w:hAnsi="Arial" w:cs="Arial"/>
                <w:bCs/>
                <w:sz w:val="22"/>
              </w:rPr>
            </w:pPr>
            <w:r w:rsidRPr="007554EE">
              <w:rPr>
                <w:rFonts w:ascii="Arial" w:hAnsi="Arial" w:cs="Arial"/>
                <w:bCs/>
                <w:sz w:val="22"/>
              </w:rPr>
              <w:t>Apprécier les enjeux territoriaux (2)</w:t>
            </w:r>
          </w:p>
          <w:p w:rsidR="00A90BD4" w:rsidRPr="007554EE" w:rsidRDefault="00A90BD4" w:rsidP="00A90BD4">
            <w:pPr>
              <w:numPr>
                <w:ilvl w:val="0"/>
                <w:numId w:val="2"/>
              </w:numPr>
              <w:tabs>
                <w:tab w:val="num" w:pos="290"/>
              </w:tabs>
              <w:ind w:left="328" w:hanging="284"/>
              <w:rPr>
                <w:rFonts w:ascii="Arial" w:hAnsi="Arial" w:cs="Arial"/>
                <w:bCs/>
                <w:sz w:val="22"/>
              </w:rPr>
            </w:pPr>
            <w:r w:rsidRPr="007554EE">
              <w:rPr>
                <w:rFonts w:ascii="Arial" w:hAnsi="Arial" w:cs="Arial"/>
                <w:bCs/>
                <w:sz w:val="22"/>
              </w:rPr>
              <w:t>Réaliser un diagnostic / une analyse (2)</w:t>
            </w:r>
          </w:p>
          <w:p w:rsidR="00A90BD4" w:rsidRPr="007554EE" w:rsidRDefault="00A90BD4" w:rsidP="00A90BD4">
            <w:pPr>
              <w:numPr>
                <w:ilvl w:val="0"/>
                <w:numId w:val="2"/>
              </w:numPr>
              <w:tabs>
                <w:tab w:val="num" w:pos="290"/>
              </w:tabs>
              <w:ind w:left="328" w:hanging="284"/>
              <w:rPr>
                <w:rFonts w:ascii="Arial" w:hAnsi="Arial" w:cs="Arial"/>
                <w:bCs/>
                <w:sz w:val="22"/>
              </w:rPr>
            </w:pPr>
            <w:r w:rsidRPr="007554EE">
              <w:rPr>
                <w:rFonts w:ascii="Arial" w:hAnsi="Arial" w:cs="Arial"/>
                <w:bCs/>
                <w:sz w:val="22"/>
              </w:rPr>
              <w:t>Élaborer une stratégie avec définition d’objectifs (3)</w:t>
            </w:r>
          </w:p>
          <w:p w:rsidR="00A90BD4" w:rsidRPr="007554EE" w:rsidRDefault="00A90BD4" w:rsidP="00A90BD4">
            <w:pPr>
              <w:numPr>
                <w:ilvl w:val="0"/>
                <w:numId w:val="2"/>
              </w:numPr>
              <w:tabs>
                <w:tab w:val="num" w:pos="290"/>
              </w:tabs>
              <w:ind w:left="328" w:hanging="284"/>
              <w:rPr>
                <w:rFonts w:ascii="Arial" w:hAnsi="Arial" w:cs="Arial"/>
                <w:bCs/>
                <w:sz w:val="22"/>
              </w:rPr>
            </w:pPr>
            <w:r w:rsidRPr="007554EE">
              <w:rPr>
                <w:rFonts w:ascii="Arial" w:hAnsi="Arial" w:cs="Arial"/>
                <w:bCs/>
                <w:sz w:val="22"/>
              </w:rPr>
              <w:t>Définir un plan d’actions et les hiérarchiser (3)</w:t>
            </w:r>
          </w:p>
          <w:p w:rsidR="00A90BD4" w:rsidRPr="007554EE" w:rsidRDefault="00A90BD4" w:rsidP="00A90BD4">
            <w:pPr>
              <w:numPr>
                <w:ilvl w:val="0"/>
                <w:numId w:val="2"/>
              </w:numPr>
              <w:tabs>
                <w:tab w:val="num" w:pos="290"/>
              </w:tabs>
              <w:ind w:left="328" w:hanging="284"/>
              <w:rPr>
                <w:rFonts w:ascii="Arial" w:hAnsi="Arial" w:cs="Arial"/>
                <w:bCs/>
                <w:sz w:val="22"/>
              </w:rPr>
            </w:pPr>
            <w:r w:rsidRPr="007554EE">
              <w:rPr>
                <w:rFonts w:ascii="Arial" w:hAnsi="Arial" w:cs="Arial"/>
                <w:bCs/>
                <w:sz w:val="22"/>
              </w:rPr>
              <w:t>Organiser la mobilisation des ressources ((3)</w:t>
            </w:r>
          </w:p>
          <w:p w:rsidR="00A90BD4" w:rsidRPr="007554EE" w:rsidRDefault="00A90BD4" w:rsidP="00A90BD4">
            <w:pPr>
              <w:numPr>
                <w:ilvl w:val="0"/>
                <w:numId w:val="2"/>
              </w:numPr>
              <w:tabs>
                <w:tab w:val="num" w:pos="290"/>
              </w:tabs>
              <w:ind w:left="328" w:hanging="284"/>
              <w:rPr>
                <w:rFonts w:ascii="Arial" w:hAnsi="Arial" w:cs="Arial"/>
                <w:bCs/>
                <w:sz w:val="22"/>
              </w:rPr>
            </w:pPr>
            <w:r w:rsidRPr="007554EE">
              <w:rPr>
                <w:rFonts w:ascii="Arial" w:hAnsi="Arial" w:cs="Arial"/>
                <w:bCs/>
                <w:sz w:val="22"/>
              </w:rPr>
              <w:t>Analyser le processus et assurer le suivi d’indicateurs préalablement conçus (3)</w:t>
            </w:r>
          </w:p>
          <w:p w:rsidR="00A90BD4" w:rsidRPr="007554EE" w:rsidRDefault="00A90BD4" w:rsidP="00A90BD4">
            <w:pPr>
              <w:numPr>
                <w:ilvl w:val="0"/>
                <w:numId w:val="2"/>
              </w:numPr>
              <w:tabs>
                <w:tab w:val="num" w:pos="290"/>
              </w:tabs>
              <w:ind w:left="328" w:hanging="284"/>
              <w:rPr>
                <w:rFonts w:ascii="Arial" w:hAnsi="Arial" w:cs="Arial"/>
                <w:bCs/>
                <w:sz w:val="22"/>
              </w:rPr>
            </w:pPr>
            <w:r w:rsidRPr="007554EE">
              <w:rPr>
                <w:rFonts w:ascii="Arial" w:hAnsi="Arial" w:cs="Arial"/>
                <w:bCs/>
                <w:sz w:val="22"/>
              </w:rPr>
              <w:t>Créer et animer un réseau (3)</w:t>
            </w:r>
          </w:p>
          <w:p w:rsidR="00A90BD4" w:rsidRPr="007554EE" w:rsidRDefault="00A90BD4" w:rsidP="00A90BD4">
            <w:pPr>
              <w:numPr>
                <w:ilvl w:val="0"/>
                <w:numId w:val="2"/>
              </w:numPr>
              <w:tabs>
                <w:tab w:val="num" w:pos="290"/>
              </w:tabs>
              <w:ind w:left="328" w:hanging="284"/>
              <w:rPr>
                <w:rFonts w:ascii="Arial" w:hAnsi="Arial" w:cs="Arial"/>
                <w:bCs/>
                <w:sz w:val="22"/>
              </w:rPr>
            </w:pPr>
            <w:r w:rsidRPr="007554EE">
              <w:rPr>
                <w:rFonts w:ascii="Arial" w:hAnsi="Arial" w:cs="Arial"/>
                <w:bCs/>
                <w:sz w:val="22"/>
              </w:rPr>
              <w:t>Conduire un projet (3)</w:t>
            </w:r>
          </w:p>
        </w:tc>
      </w:tr>
      <w:tr w:rsidR="00A90BD4" w:rsidRPr="007554EE" w:rsidTr="00611C6C">
        <w:trPr>
          <w:trHeight w:val="2136"/>
        </w:trPr>
        <w:tc>
          <w:tcPr>
            <w:tcW w:w="10260" w:type="dxa"/>
            <w:tcBorders>
              <w:top w:val="dashed" w:sz="4" w:space="0" w:color="auto"/>
              <w:left w:val="dashed" w:sz="4" w:space="0" w:color="auto"/>
              <w:bottom w:val="dashed" w:sz="4" w:space="0" w:color="auto"/>
              <w:right w:val="dashed" w:sz="4" w:space="0" w:color="auto"/>
            </w:tcBorders>
            <w:vAlign w:val="center"/>
          </w:tcPr>
          <w:p w:rsidR="00A90BD4" w:rsidRPr="007554EE" w:rsidRDefault="00A90BD4" w:rsidP="00611C6C">
            <w:pPr>
              <w:rPr>
                <w:rFonts w:ascii="Arial" w:hAnsi="Arial" w:cs="Arial"/>
                <w:b/>
                <w:bCs/>
              </w:rPr>
            </w:pPr>
            <w:r w:rsidRPr="007554EE">
              <w:rPr>
                <w:rFonts w:ascii="Arial" w:hAnsi="Arial" w:cs="Arial"/>
                <w:b/>
                <w:bCs/>
                <w:sz w:val="22"/>
              </w:rPr>
              <w:lastRenderedPageBreak/>
              <w:t>Savoir-être (***pour mettre en exergue la compétence clé)</w:t>
            </w:r>
            <w:r w:rsidRPr="007554EE">
              <w:rPr>
                <w:rFonts w:ascii="Arial" w:hAnsi="Arial" w:cs="Arial"/>
                <w:b/>
                <w:bCs/>
                <w:sz w:val="22"/>
              </w:rPr>
              <w:tab/>
            </w:r>
            <w:r w:rsidRPr="007554EE">
              <w:rPr>
                <w:rFonts w:ascii="Arial" w:hAnsi="Arial" w:cs="Arial"/>
                <w:b/>
                <w:bCs/>
                <w:sz w:val="22"/>
              </w:rPr>
              <w:tab/>
            </w:r>
          </w:p>
          <w:p w:rsidR="00A90BD4" w:rsidRPr="007554EE" w:rsidRDefault="00A90BD4" w:rsidP="00611C6C">
            <w:pPr>
              <w:ind w:left="110"/>
              <w:rPr>
                <w:rFonts w:ascii="Arial" w:hAnsi="Arial" w:cs="Arial"/>
                <w:b/>
                <w:bCs/>
                <w:sz w:val="16"/>
                <w:szCs w:val="16"/>
              </w:rPr>
            </w:pPr>
          </w:p>
          <w:p w:rsidR="00A90BD4" w:rsidRPr="007554EE" w:rsidRDefault="00A90BD4" w:rsidP="00A90BD4">
            <w:pPr>
              <w:numPr>
                <w:ilvl w:val="0"/>
                <w:numId w:val="1"/>
              </w:numPr>
              <w:ind w:left="328" w:hanging="284"/>
              <w:rPr>
                <w:rFonts w:ascii="Arial" w:hAnsi="Arial" w:cs="Arial"/>
                <w:bCs/>
              </w:rPr>
            </w:pPr>
            <w:r w:rsidRPr="007554EE">
              <w:rPr>
                <w:rFonts w:ascii="Arial" w:hAnsi="Arial" w:cs="Arial"/>
                <w:bCs/>
                <w:sz w:val="22"/>
              </w:rPr>
              <w:t>Avoir le sens de l’organisation</w:t>
            </w:r>
          </w:p>
          <w:p w:rsidR="00A90BD4" w:rsidRPr="00ED373B" w:rsidRDefault="00A90BD4" w:rsidP="00A90BD4">
            <w:pPr>
              <w:numPr>
                <w:ilvl w:val="0"/>
                <w:numId w:val="1"/>
              </w:numPr>
              <w:ind w:left="328" w:hanging="284"/>
              <w:rPr>
                <w:rFonts w:ascii="Arial" w:hAnsi="Arial" w:cs="Arial"/>
                <w:bCs/>
                <w:strike/>
              </w:rPr>
            </w:pPr>
            <w:r w:rsidRPr="00ED373B">
              <w:rPr>
                <w:rFonts w:ascii="Arial" w:hAnsi="Arial" w:cs="Arial"/>
                <w:bCs/>
                <w:sz w:val="22"/>
              </w:rPr>
              <w:t>Faire preuve d’autorité et de leadership</w:t>
            </w:r>
          </w:p>
          <w:p w:rsidR="00A90BD4" w:rsidRPr="00ED373B" w:rsidRDefault="00A90BD4" w:rsidP="00A90BD4">
            <w:pPr>
              <w:numPr>
                <w:ilvl w:val="0"/>
                <w:numId w:val="1"/>
              </w:numPr>
              <w:ind w:left="328" w:hanging="284"/>
              <w:rPr>
                <w:rFonts w:ascii="Arial" w:hAnsi="Arial" w:cs="Arial"/>
                <w:bCs/>
                <w:strike/>
              </w:rPr>
            </w:pPr>
            <w:r w:rsidRPr="00ED373B">
              <w:rPr>
                <w:rFonts w:ascii="Arial" w:hAnsi="Arial" w:cs="Arial"/>
                <w:bCs/>
                <w:sz w:val="22"/>
              </w:rPr>
              <w:t>Faire preuve d’adaptation professionnelle</w:t>
            </w:r>
          </w:p>
          <w:p w:rsidR="00A90BD4" w:rsidRPr="00ED373B" w:rsidRDefault="00A90BD4" w:rsidP="00A90BD4">
            <w:pPr>
              <w:numPr>
                <w:ilvl w:val="0"/>
                <w:numId w:val="1"/>
              </w:numPr>
              <w:ind w:left="328" w:hanging="284"/>
              <w:rPr>
                <w:rFonts w:ascii="Arial" w:hAnsi="Arial" w:cs="Arial"/>
                <w:bCs/>
              </w:rPr>
            </w:pPr>
            <w:r w:rsidRPr="00ED373B">
              <w:rPr>
                <w:rFonts w:ascii="Arial" w:hAnsi="Arial" w:cs="Arial"/>
                <w:bCs/>
                <w:sz w:val="22"/>
              </w:rPr>
              <w:t>Fédérer</w:t>
            </w:r>
          </w:p>
          <w:p w:rsidR="00A90BD4" w:rsidRPr="007554EE" w:rsidRDefault="00A90BD4" w:rsidP="00A90BD4">
            <w:pPr>
              <w:numPr>
                <w:ilvl w:val="0"/>
                <w:numId w:val="1"/>
              </w:numPr>
              <w:ind w:left="328" w:hanging="284"/>
              <w:rPr>
                <w:rFonts w:ascii="Arial" w:hAnsi="Arial" w:cs="Arial"/>
                <w:bCs/>
              </w:rPr>
            </w:pPr>
            <w:r w:rsidRPr="007554EE">
              <w:rPr>
                <w:rFonts w:ascii="Arial" w:hAnsi="Arial" w:cs="Arial"/>
                <w:bCs/>
                <w:sz w:val="22"/>
              </w:rPr>
              <w:t>Donner du sens pour mobiliser</w:t>
            </w:r>
          </w:p>
        </w:tc>
      </w:tr>
    </w:tbl>
    <w:p w:rsidR="00A90BD4" w:rsidRPr="007554EE" w:rsidRDefault="00A90BD4" w:rsidP="00A90BD4">
      <w:pPr>
        <w:rPr>
          <w:rFonts w:ascii="Arial" w:hAnsi="Arial" w:cs="Arial"/>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60"/>
      </w:tblGrid>
      <w:tr w:rsidR="00A90BD4" w:rsidRPr="007554EE" w:rsidTr="00611C6C">
        <w:trPr>
          <w:trHeight w:val="458"/>
        </w:trPr>
        <w:tc>
          <w:tcPr>
            <w:tcW w:w="10260" w:type="dxa"/>
            <w:shd w:val="clear" w:color="auto" w:fill="FFF272"/>
          </w:tcPr>
          <w:p w:rsidR="00A90BD4" w:rsidRPr="007554EE" w:rsidRDefault="00A90BD4" w:rsidP="00611C6C">
            <w:pPr>
              <w:spacing w:before="120"/>
              <w:jc w:val="center"/>
              <w:rPr>
                <w:rFonts w:ascii="Arial" w:hAnsi="Arial" w:cs="Arial"/>
                <w:b/>
                <w:bCs/>
                <w:sz w:val="28"/>
                <w:szCs w:val="28"/>
              </w:rPr>
            </w:pPr>
            <w:r w:rsidRPr="007554EE">
              <w:rPr>
                <w:rFonts w:ascii="Arial" w:hAnsi="Arial" w:cs="Arial"/>
                <w:b/>
                <w:bCs/>
                <w:sz w:val="28"/>
                <w:szCs w:val="28"/>
              </w:rPr>
              <w:t>Conditions particulières d’exercice</w:t>
            </w:r>
          </w:p>
        </w:tc>
      </w:tr>
      <w:tr w:rsidR="00A90BD4" w:rsidRPr="007554EE" w:rsidTr="00611C6C">
        <w:trPr>
          <w:trHeight w:val="2047"/>
        </w:trPr>
        <w:tc>
          <w:tcPr>
            <w:tcW w:w="10260" w:type="dxa"/>
            <w:tcBorders>
              <w:top w:val="dashed" w:sz="4" w:space="0" w:color="auto"/>
              <w:left w:val="dashed" w:sz="4" w:space="0" w:color="auto"/>
              <w:bottom w:val="dashed" w:sz="4" w:space="0" w:color="auto"/>
              <w:right w:val="dashed" w:sz="4" w:space="0" w:color="auto"/>
            </w:tcBorders>
            <w:vAlign w:val="center"/>
          </w:tcPr>
          <w:p w:rsidR="00A90BD4" w:rsidRPr="007554EE" w:rsidRDefault="00A90BD4" w:rsidP="00611C6C">
            <w:pPr>
              <w:jc w:val="both"/>
              <w:rPr>
                <w:rFonts w:ascii="Arial" w:hAnsi="Arial" w:cs="Arial"/>
                <w:b/>
                <w:bCs/>
                <w:sz w:val="22"/>
              </w:rPr>
            </w:pPr>
            <w:r w:rsidRPr="007554EE">
              <w:rPr>
                <w:rFonts w:ascii="Arial" w:hAnsi="Arial" w:cs="Arial"/>
                <w:b/>
                <w:bCs/>
                <w:sz w:val="22"/>
              </w:rPr>
              <w:t>Modalités et conditions de travail </w:t>
            </w:r>
          </w:p>
          <w:p w:rsidR="00A90BD4" w:rsidRPr="007554EE" w:rsidRDefault="00A90BD4" w:rsidP="00611C6C">
            <w:pPr>
              <w:jc w:val="both"/>
              <w:rPr>
                <w:rFonts w:ascii="Arial" w:hAnsi="Arial" w:cs="Arial"/>
                <w:bCs/>
                <w:sz w:val="22"/>
              </w:rPr>
            </w:pPr>
          </w:p>
          <w:p w:rsidR="00A90BD4" w:rsidRPr="007554EE" w:rsidRDefault="00A90BD4" w:rsidP="00A90BD4">
            <w:pPr>
              <w:numPr>
                <w:ilvl w:val="0"/>
                <w:numId w:val="1"/>
              </w:numPr>
              <w:ind w:left="328" w:hanging="284"/>
              <w:jc w:val="both"/>
              <w:rPr>
                <w:rFonts w:ascii="Arial" w:hAnsi="Arial" w:cs="Arial"/>
                <w:bCs/>
                <w:sz w:val="22"/>
              </w:rPr>
            </w:pPr>
            <w:r w:rsidRPr="007554EE">
              <w:rPr>
                <w:rFonts w:ascii="Arial" w:hAnsi="Arial" w:cs="Arial"/>
                <w:bCs/>
                <w:sz w:val="22"/>
              </w:rPr>
              <w:t>Déplacements liés à l’activité</w:t>
            </w:r>
          </w:p>
          <w:p w:rsidR="00A90BD4" w:rsidRPr="007554EE" w:rsidRDefault="00A90BD4" w:rsidP="00611C6C">
            <w:pPr>
              <w:ind w:left="290"/>
              <w:jc w:val="both"/>
              <w:rPr>
                <w:rFonts w:ascii="Arial" w:hAnsi="Arial" w:cs="Arial"/>
                <w:bCs/>
              </w:rPr>
            </w:pPr>
          </w:p>
          <w:p w:rsidR="00A90BD4" w:rsidRPr="00EB200E" w:rsidRDefault="00A90BD4" w:rsidP="00A90BD4">
            <w:pPr>
              <w:numPr>
                <w:ilvl w:val="0"/>
                <w:numId w:val="1"/>
              </w:numPr>
              <w:ind w:left="328" w:hanging="284"/>
              <w:jc w:val="both"/>
              <w:rPr>
                <w:rFonts w:ascii="Arial" w:hAnsi="Arial" w:cs="Arial"/>
                <w:bCs/>
              </w:rPr>
            </w:pPr>
            <w:r w:rsidRPr="007554EE">
              <w:rPr>
                <w:rFonts w:ascii="Arial" w:hAnsi="Arial" w:cs="Arial"/>
                <w:bCs/>
                <w:sz w:val="22"/>
              </w:rPr>
              <w:t>Dans les domaines de la jeunesse et des sports, l’élaboration d’un programme d’inspection et de contrôle doit prendre en compte de façon prioritaire la dimension éducative et pédagogique des actions et secteurs ciblés</w:t>
            </w:r>
          </w:p>
          <w:p w:rsidR="00A90BD4" w:rsidRPr="007554EE" w:rsidRDefault="00A90BD4" w:rsidP="00611C6C">
            <w:pPr>
              <w:jc w:val="both"/>
              <w:rPr>
                <w:rFonts w:ascii="Arial" w:hAnsi="Arial" w:cs="Arial"/>
                <w:bCs/>
              </w:rPr>
            </w:pPr>
          </w:p>
        </w:tc>
      </w:tr>
    </w:tbl>
    <w:p w:rsidR="001121C0" w:rsidRDefault="00A90BD4"/>
    <w:sectPr w:rsidR="00112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1227E"/>
    <w:multiLevelType w:val="hybridMultilevel"/>
    <w:tmpl w:val="AE2C5C5E"/>
    <w:lvl w:ilvl="0" w:tplc="F74A93CE">
      <w:start w:val="1"/>
      <w:numFmt w:val="bullet"/>
      <w:lvlText w:val="•"/>
      <w:lvlJc w:val="left"/>
      <w:pPr>
        <w:ind w:left="360" w:hanging="360"/>
      </w:pPr>
      <w:rPr>
        <w:rFonts w:ascii="Calibri" w:hAnsi="Calibri" w:hint="default"/>
        <w:strike w:val="0"/>
        <w:color w:val="auto"/>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6B8396F"/>
    <w:multiLevelType w:val="hybridMultilevel"/>
    <w:tmpl w:val="7CB23000"/>
    <w:lvl w:ilvl="0" w:tplc="FF9E1946">
      <w:start w:val="1"/>
      <w:numFmt w:val="bullet"/>
      <w:lvlText w:val="•"/>
      <w:lvlJc w:val="left"/>
      <w:pPr>
        <w:ind w:left="720" w:hanging="360"/>
      </w:pPr>
      <w:rPr>
        <w:rFonts w:ascii="Calibri" w:hAnsi="Calibri" w:hint="default"/>
        <w:strike w:val="0"/>
        <w:color w:val="auto"/>
        <w:sz w:val="22"/>
        <w:szCs w:val="22"/>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D4"/>
    <w:rsid w:val="00A90BD4"/>
    <w:rsid w:val="00AA2EAA"/>
    <w:rsid w:val="00AC5E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D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D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2269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Guillaume 2 (DRH/SD1/SD1A)</dc:creator>
  <cp:lastModifiedBy>NICOLAS, Guillaume 2 (DRH/SD1/SD1A)</cp:lastModifiedBy>
  <cp:revision>1</cp:revision>
  <dcterms:created xsi:type="dcterms:W3CDTF">2018-02-21T08:27:00Z</dcterms:created>
  <dcterms:modified xsi:type="dcterms:W3CDTF">2018-02-21T08:28:00Z</dcterms:modified>
</cp:coreProperties>
</file>